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0"/>
        <w:jc w:val="center"/>
      </w:pPr>
      <w:r>
        <w:rPr>
          <w:rFonts w:ascii="Arial" w:cs="Arial" w:eastAsia="Arial" w:hAnsi="Arial"/>
          <w:b/>
          <w:bCs/>
          <w:color w:val="1B3A5C"/>
          <w:sz w:val="56"/>
          <w:szCs w:val="56"/>
        </w:rPr>
        <w:t xml:space="preserve">PRECIOUS METALS</w:t>
      </w:r>
    </w:p>
    <w:p>
      <w:pPr>
        <w:spacing w:before="0" w:after="0"/>
        <w:jc w:val="center"/>
      </w:pPr>
      <w:r>
        <w:rPr>
          <w:rFonts w:ascii="Arial" w:cs="Arial" w:eastAsia="Arial" w:hAnsi="Arial"/>
          <w:b/>
          <w:bCs/>
          <w:color w:val="B8860B"/>
          <w:sz w:val="56"/>
          <w:szCs w:val="56"/>
        </w:rPr>
        <w:t xml:space="preserve">BUSINESS GROWTH REPORT</w:t>
      </w:r>
    </w:p>
    <w:p>
      <w:pPr>
        <w:spacing w:before="80" w:after="0"/>
        <w:jc w:val="center"/>
      </w:pPr>
      <w:r>
        <w:rPr>
          <w:rFonts w:ascii="Arial" w:cs="Arial" w:eastAsia="Arial" w:hAnsi="Arial"/>
          <w:b/>
          <w:bCs/>
          <w:color w:val="1B3A5C"/>
          <w:sz w:val="80"/>
          <w:szCs w:val="80"/>
        </w:rPr>
        <w:t xml:space="preserve">2026</w:t>
      </w:r>
    </w:p>
    <w:p>
      <w:r>
        <w:t xml:space="preserve"/>
      </w:r>
    </w:p>
    <w:p>
      <w:pPr>
        <w:pBdr>
          <w:bottom w:val="single" w:color="B8860B" w:sz="8" w:space="6"/>
        </w:pBdr>
        <w:jc w:val="center"/>
      </w:pPr>
      <w:r>
        <w:t xml:space="preserve"/>
      </w:r>
    </w:p>
    <w:p>
      <w:r>
        <w:t xml:space="preserve"/>
      </w:r>
    </w:p>
    <w:p>
      <w:pPr>
        <w:spacing w:before="120" w:after="80"/>
        <w:jc w:val="center"/>
      </w:pPr>
      <w:r>
        <w:rPr>
          <w:rFonts w:ascii="Georgia" w:cs="Georgia" w:eastAsia="Georgia" w:hAnsi="Georgia"/>
          <w:i/>
          <w:iCs/>
          <w:color w:val="444444"/>
          <w:sz w:val="24"/>
          <w:szCs w:val="24"/>
        </w:rPr>
        <w:t xml:space="preserve">The definitive growth intelligence report for gold buying businesses,</w:t>
      </w:r>
    </w:p>
    <w:p>
      <w:pPr>
        <w:spacing w:before="0" w:after="200"/>
        <w:jc w:val="center"/>
      </w:pPr>
      <w:r>
        <w:rPr>
          <w:rFonts w:ascii="Georgia" w:cs="Georgia" w:eastAsia="Georgia" w:hAnsi="Georgia"/>
          <w:i/>
          <w:iCs/>
          <w:color w:val="444444"/>
          <w:sz w:val="24"/>
          <w:szCs w:val="24"/>
        </w:rPr>
        <w:t xml:space="preserve">bullion dealers, and precious metal refiners worldwide.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C8B0" w:sz="1"/>
              <w:left w:val="single" w:color="D0C8B0" w:sz="1"/>
              <w:bottom w:val="single" w:color="D0C8B0" w:sz="1"/>
              <w:right w:val="single" w:color="D0C8B0" w:sz="1"/>
            </w:tcBorders>
            <w:shd w:fill="1B3A5C" w:val="clear"/>
            <w:tcMar>
              <w:top w:type="dxa" w:w="180"/>
              <w:left w:type="dxa" w:w="120"/>
              <w:bottom w:type="dxa" w:w="180"/>
              <w:right w:type="dxa" w:w="120"/>
            </w:tcMar>
          </w:tcPr>
          <w:p>
            <w:pPr>
              <w:jc w:val="center"/>
            </w:pPr>
            <w:r>
              <w:rPr>
                <w:rFonts w:ascii="Arial" w:cs="Arial" w:eastAsia="Arial" w:hAnsi="Arial"/>
                <w:b/>
                <w:bCs/>
                <w:color w:val="B8860B"/>
                <w:sz w:val="52"/>
                <w:szCs w:val="52"/>
              </w:rPr>
              <w:t xml:space="preserve">5,000t+</w:t>
            </w:r>
          </w:p>
          <w:p>
            <w:pPr>
              <w:spacing w:before="60"/>
              <w:jc w:val="center"/>
            </w:pPr>
            <w:r>
              <w:rPr>
                <w:rFonts w:ascii="Arial" w:cs="Arial" w:eastAsia="Arial" w:hAnsi="Arial"/>
                <w:color w:val="FFFFFF"/>
                <w:sz w:val="18"/>
                <w:szCs w:val="18"/>
              </w:rPr>
              <w:t xml:space="preserve">Global gold demand 2025</w:t>
            </w:r>
          </w:p>
        </w:tc>
        <w:tc>
          <w:tcPr>
            <w:tcW w:type="dxa" w:w="2340"/>
            <w:tcBorders>
              <w:top w:val="single" w:color="D0C8B0" w:sz="1"/>
              <w:left w:val="single" w:color="D0C8B0" w:sz="1"/>
              <w:bottom w:val="single" w:color="D0C8B0" w:sz="1"/>
              <w:right w:val="single" w:color="D0C8B0" w:sz="1"/>
            </w:tcBorders>
            <w:shd w:fill="1B3A5C" w:val="clear"/>
            <w:tcMar>
              <w:top w:type="dxa" w:w="180"/>
              <w:left w:type="dxa" w:w="120"/>
              <w:bottom w:type="dxa" w:w="180"/>
              <w:right w:type="dxa" w:w="120"/>
            </w:tcMar>
          </w:tcPr>
          <w:p>
            <w:pPr>
              <w:jc w:val="center"/>
            </w:pPr>
            <w:r>
              <w:rPr>
                <w:rFonts w:ascii="Arial" w:cs="Arial" w:eastAsia="Arial" w:hAnsi="Arial"/>
                <w:b/>
                <w:bCs/>
                <w:color w:val="B8860B"/>
                <w:sz w:val="52"/>
                <w:szCs w:val="52"/>
              </w:rPr>
              <w:t xml:space="preserve">$3,300+</w:t>
            </w:r>
          </w:p>
          <w:p>
            <w:pPr>
              <w:spacing w:before="60"/>
              <w:jc w:val="center"/>
            </w:pPr>
            <w:r>
              <w:rPr>
                <w:rFonts w:ascii="Arial" w:cs="Arial" w:eastAsia="Arial" w:hAnsi="Arial"/>
                <w:color w:val="FFFFFF"/>
                <w:sz w:val="18"/>
                <w:szCs w:val="18"/>
              </w:rPr>
              <w:t xml:space="preserve">Gold price per oz (2025 peak)</w:t>
            </w:r>
          </w:p>
        </w:tc>
        <w:tc>
          <w:tcPr>
            <w:tcW w:type="dxa" w:w="2340"/>
            <w:tcBorders>
              <w:top w:val="single" w:color="D0C8B0" w:sz="1"/>
              <w:left w:val="single" w:color="D0C8B0" w:sz="1"/>
              <w:bottom w:val="single" w:color="D0C8B0" w:sz="1"/>
              <w:right w:val="single" w:color="D0C8B0" w:sz="1"/>
            </w:tcBorders>
            <w:shd w:fill="1B3A5C" w:val="clear"/>
            <w:tcMar>
              <w:top w:type="dxa" w:w="180"/>
              <w:left w:type="dxa" w:w="120"/>
              <w:bottom w:type="dxa" w:w="180"/>
              <w:right w:type="dxa" w:w="120"/>
            </w:tcMar>
          </w:tcPr>
          <w:p>
            <w:pPr>
              <w:jc w:val="center"/>
            </w:pPr>
            <w:r>
              <w:rPr>
                <w:rFonts w:ascii="Arial" w:cs="Arial" w:eastAsia="Arial" w:hAnsi="Arial"/>
                <w:b/>
                <w:bCs/>
                <w:color w:val="B8860B"/>
                <w:sz w:val="52"/>
                <w:szCs w:val="52"/>
              </w:rPr>
              <w:t xml:space="preserve">66</w:t>
            </w:r>
          </w:p>
          <w:p>
            <w:pPr>
              <w:spacing w:before="60"/>
              <w:jc w:val="center"/>
            </w:pPr>
            <w:r>
              <w:rPr>
                <w:rFonts w:ascii="Arial" w:cs="Arial" w:eastAsia="Arial" w:hAnsi="Arial"/>
                <w:color w:val="FFFFFF"/>
                <w:sz w:val="18"/>
                <w:szCs w:val="18"/>
              </w:rPr>
              <w:t xml:space="preserve">LBMA Good Delivery Refiners</w:t>
            </w:r>
          </w:p>
        </w:tc>
        <w:tc>
          <w:tcPr>
            <w:tcW w:type="dxa" w:w="2340"/>
            <w:tcBorders>
              <w:top w:val="single" w:color="D0C8B0" w:sz="1"/>
              <w:left w:val="single" w:color="D0C8B0" w:sz="1"/>
              <w:bottom w:val="single" w:color="D0C8B0" w:sz="1"/>
              <w:right w:val="single" w:color="D0C8B0" w:sz="1"/>
            </w:tcBorders>
            <w:shd w:fill="1B3A5C" w:val="clear"/>
            <w:tcMar>
              <w:top w:type="dxa" w:w="180"/>
              <w:left w:type="dxa" w:w="120"/>
              <w:bottom w:type="dxa" w:w="180"/>
              <w:right w:type="dxa" w:w="120"/>
            </w:tcMar>
          </w:tcPr>
          <w:p>
            <w:pPr>
              <w:jc w:val="center"/>
            </w:pPr>
            <w:r>
              <w:rPr>
                <w:rFonts w:ascii="Arial" w:cs="Arial" w:eastAsia="Arial" w:hAnsi="Arial"/>
                <w:b/>
                <w:bCs/>
                <w:color w:val="B8860B"/>
                <w:sz w:val="52"/>
                <w:szCs w:val="52"/>
              </w:rPr>
              <w:t xml:space="preserve">4</w:t>
            </w:r>
          </w:p>
          <w:p>
            <w:pPr>
              <w:spacing w:before="60"/>
              <w:jc w:val="center"/>
            </w:pPr>
            <w:r>
              <w:rPr>
                <w:rFonts w:ascii="Arial" w:cs="Arial" w:eastAsia="Arial" w:hAnsi="Arial"/>
                <w:color w:val="FFFFFF"/>
                <w:sz w:val="18"/>
                <w:szCs w:val="18"/>
              </w:rPr>
              <w:t xml:space="preserve">Key markets: UK · USA · UAE · India</w:t>
            </w:r>
          </w:p>
        </w:tc>
      </w:tr>
    </w:tbl>
    <w:p>
      <w:r>
        <w:t xml:space="preserve"/>
      </w:r>
    </w:p>
    <w:p>
      <w:r>
        <w:t xml:space="preserve"/>
      </w:r>
    </w:p>
    <w:p>
      <w:pPr>
        <w:spacing w:before="200" w:after="60"/>
        <w:jc w:val="center"/>
      </w:pPr>
      <w:r>
        <w:rPr>
          <w:rFonts w:ascii="Georgia" w:cs="Georgia" w:eastAsia="Georgia" w:hAnsi="Georgia"/>
          <w:i/>
          <w:iCs/>
          <w:color w:val="777777"/>
          <w:sz w:val="20"/>
          <w:szCs w:val="20"/>
        </w:rPr>
        <w:t xml:space="preserve">Published by</w:t>
      </w:r>
    </w:p>
    <w:p>
      <w:pPr>
        <w:spacing w:before="0" w:after="60"/>
        <w:jc w:val="center"/>
      </w:pPr>
      <w:r>
        <w:rPr>
          <w:rFonts w:ascii="Arial" w:cs="Arial" w:eastAsia="Arial" w:hAnsi="Arial"/>
          <w:b/>
          <w:bCs/>
          <w:color w:val="1B3A5C"/>
          <w:sz w:val="24"/>
          <w:szCs w:val="24"/>
        </w:rPr>
        <w:t xml:space="preserve">Precious Metals Growth Advisory</w:t>
      </w:r>
    </w:p>
    <w:p>
      <w:pPr>
        <w:spacing w:before="0" w:after="60"/>
        <w:jc w:val="center"/>
      </w:pPr>
      <w:r>
        <w:rPr>
          <w:rFonts w:ascii="Georgia" w:cs="Georgia" w:eastAsia="Georgia" w:hAnsi="Georgia"/>
          <w:color w:val="777777"/>
          <w:sz w:val="20"/>
          <w:szCs w:val="20"/>
        </w:rPr>
        <w:t xml:space="preserve">Strategy · Advisory · Execution  |  Global  |  2026</w:t>
      </w:r>
    </w:p>
    <w:p>
      <w:r>
        <w:br w:type="page"/>
      </w:r>
    </w:p>
    <w:p>
      <w:pPr>
        <w:pStyle w:val="Heading1"/>
        <w:spacing w:before="400" w:after="160"/>
      </w:pPr>
      <w:r>
        <w:rPr>
          <w:rFonts w:ascii="Arial" w:cs="Arial" w:eastAsia="Arial" w:hAnsi="Arial"/>
          <w:b/>
          <w:bCs/>
          <w:color w:val="1B3A5C"/>
          <w:sz w:val="36"/>
          <w:szCs w:val="36"/>
        </w:rPr>
        <w:t xml:space="preserve">About This Report</w:t>
      </w:r>
    </w:p>
    <w:p>
      <w:pPr>
        <w:pBdr>
          <w:bottom w:val="single" w:color="B8860B" w:sz="6" w:space="4"/>
        </w:pBdr>
        <w:spacing w:before="40" w:after="200"/>
      </w:pPr>
      <w:r>
        <w:t xml:space="preserve"/>
      </w:r>
    </w:p>
    <w:p>
      <w:pPr>
        <w:spacing w:before="80" w:after="80"/>
        <w:jc w:val="left"/>
      </w:pPr>
      <w:r>
        <w:rPr>
          <w:rFonts w:ascii="Georgia" w:cs="Georgia" w:eastAsia="Georgia" w:hAnsi="Georgia"/>
          <w:b w:val="false"/>
          <w:bCs w:val="false"/>
          <w:i w:val="false"/>
          <w:iCs w:val="false"/>
          <w:color w:val="222222"/>
          <w:sz w:val="22"/>
          <w:szCs w:val="22"/>
        </w:rPr>
        <w:t xml:space="preserve">The Precious Metals Business Growth Report 2026 is published for owners, directors, and senior managers of precious metals businesses — including cash-for-gold operators, bullion dealers, and precious metal refiners — operating across the UK, USA, UAE, and India.</w:t>
      </w:r>
    </w:p>
    <w:p>
      <w:r>
        <w:t xml:space="preserve"/>
      </w:r>
    </w:p>
    <w:p>
      <w:pPr>
        <w:spacing w:before="80" w:after="80"/>
        <w:jc w:val="left"/>
      </w:pPr>
      <w:r>
        <w:rPr>
          <w:rFonts w:ascii="Georgia" w:cs="Georgia" w:eastAsia="Georgia" w:hAnsi="Georgia"/>
          <w:b w:val="false"/>
          <w:bCs w:val="false"/>
          <w:i w:val="false"/>
          <w:iCs w:val="false"/>
          <w:color w:val="222222"/>
          <w:sz w:val="22"/>
          <w:szCs w:val="22"/>
        </w:rPr>
        <w:t xml:space="preserve">It brings together market intelligence, operational benchmarks, digital growth data, and strategic frameworks to help businesses understand where the industry is heading and what the highest-performing operators are doing differently.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2"/>
              <w:left w:val="thick" w:color="B8860B" w:sz="14"/>
              <w:bottom w:val="single" w:color="B8860B" w:sz="2"/>
              <w:right w:val="single" w:color="B8860B" w:sz="2"/>
            </w:tcBorders>
            <w:shd w:fill="F9F5EC" w:val="clear"/>
            <w:tcMar>
              <w:top w:type="dxa" w:w="140"/>
              <w:left w:type="dxa" w:w="200"/>
              <w:bottom w:type="dxa" w:w="140"/>
              <w:right w:type="dxa" w:w="160"/>
            </w:tcMar>
          </w:tcPr>
          <w:p>
            <w:r>
              <w:rPr>
                <w:rFonts w:ascii="Arial" w:cs="Arial" w:eastAsia="Arial" w:hAnsi="Arial"/>
                <w:b/>
                <w:bCs/>
                <w:color w:val="1B3A5C"/>
                <w:sz w:val="22"/>
                <w:szCs w:val="22"/>
              </w:rPr>
              <w:t xml:space="preserve">Who This Report Is For</w:t>
            </w:r>
          </w:p>
          <w:p>
            <w:r>
              <w:t xml:space="preserve"/>
            </w:r>
          </w:p>
          <w:p>
            <w:pPr>
              <w:spacing w:before="0" w:after="0"/>
            </w:pPr>
            <w:r>
              <w:rPr>
                <w:rFonts w:ascii="Georgia" w:cs="Georgia" w:eastAsia="Georgia" w:hAnsi="Georgia"/>
                <w:color w:val="222222"/>
                <w:sz w:val="22"/>
                <w:szCs w:val="22"/>
              </w:rPr>
              <w:t xml:space="preserve">This report is written specifically for: multi-location cash-for-gold businesses · online and retail bullion dealers · precious metal refiners and recyclers · pawnbrokers with precious metals operations · jewellery buying businesses. Geography covered: UK, USA, UAE, India, and global trends.</w:t>
            </w:r>
          </w:p>
        </w:tc>
      </w:tr>
    </w:tbl>
    <w:p>
      <w:r>
        <w:t xml:space="preserve"/>
      </w:r>
    </w:p>
    <w:p>
      <w:r>
        <w:t xml:space="preserve"/>
      </w:r>
    </w:p>
    <w:p>
      <w:pPr>
        <w:pStyle w:val="Heading1"/>
        <w:spacing w:before="400" w:after="160"/>
      </w:pPr>
      <w:r>
        <w:rPr>
          <w:rFonts w:ascii="Arial" w:cs="Arial" w:eastAsia="Arial" w:hAnsi="Arial"/>
          <w:b/>
          <w:bCs/>
          <w:color w:val="1B3A5C"/>
          <w:sz w:val="36"/>
          <w:szCs w:val="36"/>
        </w:rPr>
        <w:t xml:space="preserve">Section 1: Market Overview — The State of Precious Metals in 2026</w:t>
      </w:r>
    </w:p>
    <w:p>
      <w:pPr>
        <w:pBdr>
          <w:bottom w:val="single" w:color="B8860B" w:sz="6" w:space="4"/>
        </w:pBdr>
        <w:spacing w:before="40" w:after="200"/>
      </w:pPr>
      <w:r>
        <w:t xml:space="preserve"/>
      </w:r>
    </w:p>
    <w:p>
      <w:pPr>
        <w:pStyle w:val="Heading2"/>
        <w:spacing w:before="280" w:after="120"/>
      </w:pPr>
      <w:r>
        <w:rPr>
          <w:rFonts w:ascii="Arial" w:cs="Arial" w:eastAsia="Arial" w:hAnsi="Arial"/>
          <w:b/>
          <w:bCs/>
          <w:color w:val="2E6DA4"/>
          <w:sz w:val="28"/>
          <w:szCs w:val="28"/>
        </w:rPr>
        <w:t xml:space="preserve">1.1  Gold Price &amp; Demand in 2025–2026</w:t>
      </w:r>
    </w:p>
    <w:p>
      <w:pPr>
        <w:spacing w:before="80" w:after="80"/>
        <w:jc w:val="left"/>
      </w:pPr>
      <w:r>
        <w:rPr>
          <w:rFonts w:ascii="Georgia" w:cs="Georgia" w:eastAsia="Georgia" w:hAnsi="Georgia"/>
          <w:b w:val="false"/>
          <w:bCs w:val="false"/>
          <w:i w:val="false"/>
          <w:iCs w:val="false"/>
          <w:color w:val="222222"/>
          <w:sz w:val="22"/>
          <w:szCs w:val="22"/>
        </w:rPr>
        <w:t xml:space="preserve">The precious metals industry entered 2025–2026 in a period of significant transformation. Gold prices surpassed $3,300 per troy ounce in 2025, reaching record levels driven by geopolitical uncertainty, central bank accumulation, and strong retail investment demand.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C8B0" w:sz="1"/>
              <w:left w:val="single" w:color="D0C8B0" w:sz="1"/>
              <w:bottom w:val="single" w:color="D0C8B0" w:sz="1"/>
              <w:right w:val="single" w:color="D0C8B0" w:sz="1"/>
            </w:tcBorders>
            <w:shd w:fill="1B3A5C" w:val="clear"/>
            <w:tcMar>
              <w:top w:type="dxa" w:w="180"/>
              <w:left w:type="dxa" w:w="120"/>
              <w:bottom w:type="dxa" w:w="180"/>
              <w:right w:type="dxa" w:w="120"/>
            </w:tcMar>
          </w:tcPr>
          <w:p>
            <w:pPr>
              <w:jc w:val="center"/>
            </w:pPr>
            <w:r>
              <w:rPr>
                <w:rFonts w:ascii="Arial" w:cs="Arial" w:eastAsia="Arial" w:hAnsi="Arial"/>
                <w:b/>
                <w:bCs/>
                <w:color w:val="B8860B"/>
                <w:sz w:val="52"/>
                <w:szCs w:val="52"/>
              </w:rPr>
              <w:t xml:space="preserve">5,000t+</w:t>
            </w:r>
          </w:p>
          <w:p>
            <w:pPr>
              <w:spacing w:before="60"/>
              <w:jc w:val="center"/>
            </w:pPr>
            <w:r>
              <w:rPr>
                <w:rFonts w:ascii="Arial" w:cs="Arial" w:eastAsia="Arial" w:hAnsi="Arial"/>
                <w:color w:val="FFFFFF"/>
                <w:sz w:val="18"/>
                <w:szCs w:val="18"/>
              </w:rPr>
              <w:t xml:space="preserve">Total gold demand 2025 (WGC)</w:t>
            </w:r>
          </w:p>
        </w:tc>
        <w:tc>
          <w:tcPr>
            <w:tcW w:type="dxa" w:w="2340"/>
            <w:tcBorders>
              <w:top w:val="single" w:color="D0C8B0" w:sz="1"/>
              <w:left w:val="single" w:color="D0C8B0" w:sz="1"/>
              <w:bottom w:val="single" w:color="D0C8B0" w:sz="1"/>
              <w:right w:val="single" w:color="D0C8B0" w:sz="1"/>
            </w:tcBorders>
            <w:shd w:fill="1B3A5C" w:val="clear"/>
            <w:tcMar>
              <w:top w:type="dxa" w:w="180"/>
              <w:left w:type="dxa" w:w="120"/>
              <w:bottom w:type="dxa" w:w="180"/>
              <w:right w:type="dxa" w:w="120"/>
            </w:tcMar>
          </w:tcPr>
          <w:p>
            <w:pPr>
              <w:jc w:val="center"/>
            </w:pPr>
            <w:r>
              <w:rPr>
                <w:rFonts w:ascii="Arial" w:cs="Arial" w:eastAsia="Arial" w:hAnsi="Arial"/>
                <w:b/>
                <w:bCs/>
                <w:color w:val="B8860B"/>
                <w:sz w:val="52"/>
                <w:szCs w:val="52"/>
              </w:rPr>
              <w:t xml:space="preserve">$3,300+</w:t>
            </w:r>
          </w:p>
          <w:p>
            <w:pPr>
              <w:spacing w:before="60"/>
              <w:jc w:val="center"/>
            </w:pPr>
            <w:r>
              <w:rPr>
                <w:rFonts w:ascii="Arial" w:cs="Arial" w:eastAsia="Arial" w:hAnsi="Arial"/>
                <w:color w:val="FFFFFF"/>
                <w:sz w:val="18"/>
                <w:szCs w:val="18"/>
              </w:rPr>
              <w:t xml:space="preserve">Peak gold price per oz (2025)</w:t>
            </w:r>
          </w:p>
        </w:tc>
        <w:tc>
          <w:tcPr>
            <w:tcW w:type="dxa" w:w="2340"/>
            <w:tcBorders>
              <w:top w:val="single" w:color="D0C8B0" w:sz="1"/>
              <w:left w:val="single" w:color="D0C8B0" w:sz="1"/>
              <w:bottom w:val="single" w:color="D0C8B0" w:sz="1"/>
              <w:right w:val="single" w:color="D0C8B0" w:sz="1"/>
            </w:tcBorders>
            <w:shd w:fill="1B3A5C" w:val="clear"/>
            <w:tcMar>
              <w:top w:type="dxa" w:w="180"/>
              <w:left w:type="dxa" w:w="120"/>
              <w:bottom w:type="dxa" w:w="180"/>
              <w:right w:type="dxa" w:w="120"/>
            </w:tcMar>
          </w:tcPr>
          <w:p>
            <w:pPr>
              <w:jc w:val="center"/>
            </w:pPr>
            <w:r>
              <w:rPr>
                <w:rFonts w:ascii="Arial" w:cs="Arial" w:eastAsia="Arial" w:hAnsi="Arial"/>
                <w:b/>
                <w:bCs/>
                <w:color w:val="B8860B"/>
                <w:sz w:val="52"/>
                <w:szCs w:val="52"/>
              </w:rPr>
              <w:t xml:space="preserve">~20%</w:t>
            </w:r>
          </w:p>
          <w:p>
            <w:pPr>
              <w:spacing w:before="60"/>
              <w:jc w:val="center"/>
            </w:pPr>
            <w:r>
              <w:rPr>
                <w:rFonts w:ascii="Arial" w:cs="Arial" w:eastAsia="Arial" w:hAnsi="Arial"/>
                <w:color w:val="FFFFFF"/>
                <w:sz w:val="18"/>
                <w:szCs w:val="18"/>
              </w:rPr>
              <w:t xml:space="preserve">YoY investment demand growth</w:t>
            </w:r>
          </w:p>
        </w:tc>
        <w:tc>
          <w:tcPr>
            <w:tcW w:type="dxa" w:w="2340"/>
            <w:tcBorders>
              <w:top w:val="single" w:color="D0C8B0" w:sz="1"/>
              <w:left w:val="single" w:color="D0C8B0" w:sz="1"/>
              <w:bottom w:val="single" w:color="D0C8B0" w:sz="1"/>
              <w:right w:val="single" w:color="D0C8B0" w:sz="1"/>
            </w:tcBorders>
            <w:shd w:fill="1B3A5C" w:val="clear"/>
            <w:tcMar>
              <w:top w:type="dxa" w:w="180"/>
              <w:left w:type="dxa" w:w="120"/>
              <w:bottom w:type="dxa" w:w="180"/>
              <w:right w:type="dxa" w:w="120"/>
            </w:tcMar>
          </w:tcPr>
          <w:p>
            <w:pPr>
              <w:jc w:val="center"/>
            </w:pPr>
            <w:r>
              <w:rPr>
                <w:rFonts w:ascii="Arial" w:cs="Arial" w:eastAsia="Arial" w:hAnsi="Arial"/>
                <w:b/>
                <w:bCs/>
                <w:color w:val="B8860B"/>
                <w:sz w:val="52"/>
                <w:szCs w:val="52"/>
              </w:rPr>
              <w:t xml:space="preserve">450t+</w:t>
            </w:r>
          </w:p>
          <w:p>
            <w:pPr>
              <w:spacing w:before="60"/>
              <w:jc w:val="center"/>
            </w:pPr>
            <w:r>
              <w:rPr>
                <w:rFonts w:ascii="Arial" w:cs="Arial" w:eastAsia="Arial" w:hAnsi="Arial"/>
                <w:color w:val="FFFFFF"/>
                <w:sz w:val="18"/>
                <w:szCs w:val="18"/>
              </w:rPr>
              <w:t xml:space="preserve">Central bank net purchases 2025</w:t>
            </w:r>
          </w:p>
        </w:tc>
      </w:tr>
    </w:tbl>
    <w:p>
      <w:r>
        <w:t xml:space="preserve"/>
      </w:r>
    </w:p>
    <w:p>
      <w:pPr>
        <w:spacing w:before="80" w:after="80"/>
        <w:jc w:val="left"/>
      </w:pPr>
      <w:r>
        <w:rPr>
          <w:rFonts w:ascii="Georgia" w:cs="Georgia" w:eastAsia="Georgia" w:hAnsi="Georgia"/>
          <w:b w:val="false"/>
          <w:bCs w:val="false"/>
          <w:i w:val="false"/>
          <w:iCs w:val="false"/>
          <w:color w:val="222222"/>
          <w:sz w:val="22"/>
          <w:szCs w:val="22"/>
        </w:rPr>
        <w:t xml:space="preserve">Total gold demand exceeded 5,000 tonnes globally for the first time in 2025, with overall value hitting record highs. However, this has not translated evenly across the industry. Investment-side businesses (ETFs, bar and coin dealers, bullion platforms) experienced strong demand. Meanwhile, jewellery demand softened in price-sensitive markets — notably India — where consumer hesitation grew as affordability declined.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2"/>
              <w:left w:val="thick" w:color="B8860B" w:sz="14"/>
              <w:bottom w:val="single" w:color="B8860B" w:sz="2"/>
              <w:right w:val="single" w:color="B8860B" w:sz="2"/>
            </w:tcBorders>
            <w:shd w:fill="F9F5EC" w:val="clear"/>
            <w:tcMar>
              <w:top w:type="dxa" w:w="140"/>
              <w:left w:type="dxa" w:w="200"/>
              <w:bottom w:type="dxa" w:w="140"/>
              <w:right w:type="dxa" w:w="160"/>
            </w:tcMar>
          </w:tcPr>
          <w:p>
            <w:r>
              <w:rPr>
                <w:rFonts w:ascii="Arial" w:cs="Arial" w:eastAsia="Arial" w:hAnsi="Arial"/>
                <w:b/>
                <w:bCs/>
                <w:color w:val="1B3A5C"/>
                <w:sz w:val="22"/>
                <w:szCs w:val="22"/>
              </w:rPr>
              <w:t xml:space="preserve">Key Insight for Business Owners</w:t>
            </w:r>
          </w:p>
          <w:p>
            <w:r>
              <w:t xml:space="preserve"/>
            </w:r>
          </w:p>
          <w:p>
            <w:pPr>
              <w:spacing w:before="0" w:after="0"/>
            </w:pPr>
            <w:r>
              <w:rPr>
                <w:rFonts w:ascii="Georgia" w:cs="Georgia" w:eastAsia="Georgia" w:hAnsi="Georgia"/>
                <w:color w:val="222222"/>
                <w:sz w:val="22"/>
                <w:szCs w:val="22"/>
              </w:rPr>
              <w:t xml:space="preserve">Higher gold prices mean higher stakes, not easier profits. Businesses with strong digital presence, efficient operations, and trusted customer relationships are capturing the upside. Those without are losing ground to competitors who have invested in systems and visibility.</w:t>
            </w:r>
          </w:p>
        </w:tc>
      </w:tr>
    </w:tbl>
    <w:p>
      <w:r>
        <w:t xml:space="preserve"/>
      </w:r>
    </w:p>
    <w:p>
      <w:pPr>
        <w:pStyle w:val="Heading2"/>
        <w:spacing w:before="280" w:after="120"/>
      </w:pPr>
      <w:r>
        <w:rPr>
          <w:rFonts w:ascii="Arial" w:cs="Arial" w:eastAsia="Arial" w:hAnsi="Arial"/>
          <w:b/>
          <w:bCs/>
          <w:color w:val="2E6DA4"/>
          <w:sz w:val="28"/>
          <w:szCs w:val="28"/>
        </w:rPr>
        <w:t xml:space="preserve">1.2  The Four Money Pools in the Industry</w:t>
      </w:r>
    </w:p>
    <w:p>
      <w:pPr>
        <w:spacing w:before="80" w:after="80"/>
        <w:jc w:val="left"/>
      </w:pPr>
      <w:r>
        <w:rPr>
          <w:rFonts w:ascii="Georgia" w:cs="Georgia" w:eastAsia="Georgia" w:hAnsi="Georgia"/>
          <w:b w:val="false"/>
          <w:bCs w:val="false"/>
          <w:i w:val="false"/>
          <w:iCs w:val="false"/>
          <w:color w:val="222222"/>
          <w:sz w:val="22"/>
          <w:szCs w:val="22"/>
        </w:rPr>
        <w:t xml:space="preserve">There are four primary commercial ecosystems where money changes hands in precious metals: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080"/>
        <w:gridCol w:w="2880"/>
      </w:tblGrid>
      <w:tr>
        <w:tc>
          <w:tcPr>
            <w:tcW w:type="dxa" w:w="240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Money Pool</w:t>
            </w:r>
          </w:p>
        </w:tc>
        <w:tc>
          <w:tcPr>
            <w:tcW w:type="dxa" w:w="408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How Money Is Made</w:t>
            </w:r>
          </w:p>
        </w:tc>
        <w:tc>
          <w:tcPr>
            <w:tcW w:type="dxa" w:w="288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Key Challenge</w:t>
            </w:r>
          </w:p>
        </w:tc>
      </w:tr>
      <w:tr>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Scrap-to-Cash (Cash-for-Gold)</w:t>
            </w:r>
          </w:p>
        </w:tc>
        <w:tc>
          <w:tcPr>
            <w:tcW w:type="dxa" w:w="40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Acquisition spread between buy price and refiner settlement</w:t>
            </w:r>
          </w:p>
        </w:tc>
        <w:tc>
          <w:tcPr>
            <w:tcW w:type="dxa" w:w="28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Trust deficit, lead conversion, quote handling</w:t>
            </w:r>
          </w:p>
        </w:tc>
      </w:tr>
      <w:tr>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Bullion Retail Margin</w:t>
            </w:r>
          </w:p>
        </w:tc>
        <w:tc>
          <w:tcPr>
            <w:tcW w:type="dxa" w:w="40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Premium above spot on bars and coins</w:t>
            </w:r>
          </w:p>
        </w:tc>
        <w:tc>
          <w:tcPr>
            <w:tcW w:type="dxa" w:w="28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Price volatility, fraud, conversion leakage</w:t>
            </w:r>
          </w:p>
        </w:tc>
      </w:tr>
      <w:tr>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Refining Margin</w:t>
            </w:r>
          </w:p>
        </w:tc>
        <w:tc>
          <w:tcPr>
            <w:tcW w:type="dxa" w:w="40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Treatment fees, yield management, by-product recovery</w:t>
            </w:r>
          </w:p>
        </w:tc>
        <w:tc>
          <w:tcPr>
            <w:tcW w:type="dxa" w:w="28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Compliance, traceability, feedstock sourcing</w:t>
            </w:r>
          </w:p>
        </w:tc>
      </w:tr>
      <w:tr>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Value-Added Fabrication</w:t>
            </w:r>
          </w:p>
        </w:tc>
        <w:tc>
          <w:tcPr>
            <w:tcW w:type="dxa" w:w="40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Design/brand premium on manufactured items</w:t>
            </w:r>
          </w:p>
        </w:tc>
        <w:tc>
          <w:tcPr>
            <w:tcW w:type="dxa" w:w="28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Sourcing, making charges, retail distribution</w:t>
            </w:r>
          </w:p>
        </w:tc>
      </w:tr>
    </w:tbl>
    <w:p>
      <w:r>
        <w:t xml:space="preserve"/>
      </w:r>
    </w:p>
    <w:p>
      <w:pPr>
        <w:pStyle w:val="Heading2"/>
        <w:spacing w:before="280" w:after="120"/>
      </w:pPr>
      <w:r>
        <w:rPr>
          <w:rFonts w:ascii="Arial" w:cs="Arial" w:eastAsia="Arial" w:hAnsi="Arial"/>
          <w:b/>
          <w:bCs/>
          <w:color w:val="2E6DA4"/>
          <w:sz w:val="28"/>
          <w:szCs w:val="28"/>
        </w:rPr>
        <w:t xml:space="preserve">1.3  Market by Geography</w:t>
      </w:r>
    </w:p>
    <w:p>
      <w:pPr>
        <w:spacing w:before="80" w:after="80"/>
        <w:jc w:val="left"/>
      </w:pPr>
      <w:r>
        <w:rPr>
          <w:rFonts w:ascii="Georgia" w:cs="Georgia" w:eastAsia="Georgia" w:hAnsi="Georgia"/>
          <w:b w:val="false"/>
          <w:bCs w:val="false"/>
          <w:i w:val="false"/>
          <w:iCs w:val="false"/>
          <w:color w:val="222222"/>
          <w:sz w:val="22"/>
          <w:szCs w:val="22"/>
        </w:rPr>
        <w:t xml:space="preserve">The four priority markets each present distinct dynamics: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4200"/>
        <w:gridCol w:w="3600"/>
      </w:tblGrid>
      <w:tr>
        <w:tc>
          <w:tcPr>
            <w:tcW w:type="dxa" w:w="156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Market</w:t>
            </w:r>
          </w:p>
        </w:tc>
        <w:tc>
          <w:tcPr>
            <w:tcW w:type="dxa" w:w="420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Key Characteristics</w:t>
            </w:r>
          </w:p>
        </w:tc>
        <w:tc>
          <w:tcPr>
            <w:tcW w:type="dxa" w:w="360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Primary Opportunity</w:t>
            </w:r>
          </w:p>
        </w:tc>
      </w:tr>
      <w:tr>
        <w:tc>
          <w:tcPr>
            <w:tcW w:type="dxa" w:w="15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United Kingdom</w:t>
            </w:r>
          </w:p>
        </w:tc>
        <w:tc>
          <w:tcPr>
            <w:tcW w:type="dxa" w:w="42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Mature market, strong compliance framework, cash-for-gold consolidating, bullion demand steady</w:t>
            </w:r>
          </w:p>
        </w:tc>
        <w:tc>
          <w:tcPr>
            <w:tcW w:type="dxa" w:w="36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Multi-location SEO, compliance systems, trust-led digital</w:t>
            </w:r>
          </w:p>
        </w:tc>
      </w:tr>
      <w:tr>
        <w:tc>
          <w:tcPr>
            <w:tcW w:type="dxa" w:w="15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United States</w:t>
            </w:r>
          </w:p>
        </w:tc>
        <w:tc>
          <w:tcPr>
            <w:tcW w:type="dxa" w:w="42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Largest bullion market, high online competition, fraud risk elevated, coin dealer density high</w:t>
            </w:r>
          </w:p>
        </w:tc>
        <w:tc>
          <w:tcPr>
            <w:tcW w:type="dxa" w:w="36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eCommerce CRO, trust infrastructure, SEO authority</w:t>
            </w:r>
          </w:p>
        </w:tc>
      </w:tr>
      <w:tr>
        <w:tc>
          <w:tcPr>
            <w:tcW w:type="dxa" w:w="15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UAE (Dubai)</w:t>
            </w:r>
          </w:p>
        </w:tc>
        <w:tc>
          <w:tcPr>
            <w:tcW w:type="dxa" w:w="42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Global gold trading hub, high-value transactions, DMCC ecosystem, growing refinery sector</w:t>
            </w:r>
          </w:p>
        </w:tc>
        <w:tc>
          <w:tcPr>
            <w:tcW w:type="dxa" w:w="36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B2B advisory, refiner systems, traceability consulting</w:t>
            </w:r>
          </w:p>
        </w:tc>
      </w:tr>
      <w:tr>
        <w:tc>
          <w:tcPr>
            <w:tcW w:type="dxa" w:w="15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India</w:t>
            </w:r>
          </w:p>
        </w:tc>
        <w:tc>
          <w:tcPr>
            <w:tcW w:type="dxa" w:w="42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World's largest jewellery consumer, import-driven supply, recycling growing, digital adoption rising</w:t>
            </w:r>
          </w:p>
        </w:tc>
        <w:tc>
          <w:tcPr>
            <w:tcW w:type="dxa" w:w="36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Local SEO, vernacular content, lead automation, mobile-first</w:t>
            </w:r>
          </w:p>
        </w:tc>
      </w:tr>
    </w:tbl>
    <w:p>
      <w:r>
        <w:t xml:space="preserve"/>
      </w:r>
    </w:p>
    <w:p>
      <w:r>
        <w:t xml:space="preserve"/>
      </w:r>
    </w:p>
    <w:p>
      <w:r>
        <w:br w:type="page"/>
      </w:r>
    </w:p>
    <w:p>
      <w:pPr>
        <w:pStyle w:val="Heading1"/>
        <w:spacing w:before="400" w:after="160"/>
      </w:pPr>
      <w:r>
        <w:rPr>
          <w:rFonts w:ascii="Arial" w:cs="Arial" w:eastAsia="Arial" w:hAnsi="Arial"/>
          <w:b/>
          <w:bCs/>
          <w:color w:val="1B3A5C"/>
          <w:sz w:val="36"/>
          <w:szCs w:val="36"/>
        </w:rPr>
        <w:t xml:space="preserve">Section 2: The 5 Biggest Challenges Facing Precious Metals Businesses</w:t>
      </w:r>
    </w:p>
    <w:p>
      <w:pPr>
        <w:pBdr>
          <w:bottom w:val="single" w:color="B8860B" w:sz="6" w:space="4"/>
        </w:pBdr>
        <w:spacing w:before="40" w:after="200"/>
      </w:pPr>
      <w:r>
        <w:t xml:space="preserve"/>
      </w:r>
    </w:p>
    <w:p>
      <w:pPr>
        <w:spacing w:before="80" w:after="80"/>
        <w:jc w:val="left"/>
      </w:pPr>
      <w:r>
        <w:rPr>
          <w:rFonts w:ascii="Georgia" w:cs="Georgia" w:eastAsia="Georgia" w:hAnsi="Georgia"/>
          <w:b w:val="false"/>
          <w:bCs w:val="false"/>
          <w:i w:val="false"/>
          <w:iCs w:val="false"/>
          <w:color w:val="222222"/>
          <w:sz w:val="22"/>
          <w:szCs w:val="22"/>
        </w:rPr>
        <w:t xml:space="preserve">Based on industry research, forum analysis, and direct client engagement, five challenge categories dominate the industry landscape in 2025–2026.</w:t>
      </w:r>
    </w:p>
    <w:p>
      <w:r>
        <w:t xml:space="preserve"/>
      </w:r>
    </w:p>
    <w:p>
      <w:pPr>
        <w:pStyle w:val="Heading2"/>
        <w:spacing w:before="280" w:after="120"/>
      </w:pPr>
      <w:r>
        <w:rPr>
          <w:rFonts w:ascii="Arial" w:cs="Arial" w:eastAsia="Arial" w:hAnsi="Arial"/>
          <w:b/>
          <w:bCs/>
          <w:color w:val="2E6DA4"/>
          <w:sz w:val="28"/>
          <w:szCs w:val="28"/>
        </w:rPr>
        <w:t xml:space="preserve">Challenge 1 — Trust Deficit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0C8B0" w:sz="1"/>
              <w:left w:val="single" w:color="D0C8B0" w:sz="1"/>
              <w:bottom w:val="single" w:color="D0C8B0" w:sz="1"/>
              <w:right w:val="single" w:color="D0C8B0" w:sz="1"/>
            </w:tcBorders>
            <w:shd w:fill="1B3A5C" w:val="clear"/>
            <w:tcMar>
              <w:top w:type="dxa" w:w="180"/>
              <w:left w:type="dxa" w:w="120"/>
              <w:bottom w:type="dxa" w:w="180"/>
              <w:right w:type="dxa" w:w="120"/>
            </w:tcMar>
          </w:tcPr>
          <w:p>
            <w:pPr>
              <w:jc w:val="center"/>
            </w:pPr>
            <w:r>
              <w:rPr>
                <w:rFonts w:ascii="Arial" w:cs="Arial" w:eastAsia="Arial" w:hAnsi="Arial"/>
                <w:b/>
                <w:bCs/>
                <w:color w:val="B8860B"/>
                <w:sz w:val="52"/>
                <w:szCs w:val="52"/>
              </w:rPr>
              <w:t xml:space="preserve">73%</w:t>
            </w:r>
          </w:p>
          <w:p>
            <w:pPr>
              <w:spacing w:before="60"/>
              <w:jc w:val="center"/>
            </w:pPr>
            <w:r>
              <w:rPr>
                <w:rFonts w:ascii="Arial" w:cs="Arial" w:eastAsia="Arial" w:hAnsi="Arial"/>
                <w:color w:val="FFFFFF"/>
                <w:sz w:val="18"/>
                <w:szCs w:val="18"/>
              </w:rPr>
              <w:t xml:space="preserve">Consumers who research multiple buyers before selling gold</w:t>
            </w:r>
          </w:p>
        </w:tc>
        <w:tc>
          <w:tcPr>
            <w:tcW w:type="dxa" w:w="4680"/>
            <w:tcBorders>
              <w:top w:val="single" w:color="D0C8B0" w:sz="1"/>
              <w:left w:val="single" w:color="D0C8B0" w:sz="1"/>
              <w:bottom w:val="single" w:color="D0C8B0" w:sz="1"/>
              <w:right w:val="single" w:color="D0C8B0" w:sz="1"/>
            </w:tcBorders>
            <w:shd w:fill="1B3A5C" w:val="clear"/>
            <w:tcMar>
              <w:top w:type="dxa" w:w="180"/>
              <w:left w:type="dxa" w:w="120"/>
              <w:bottom w:type="dxa" w:w="180"/>
              <w:right w:type="dxa" w:w="120"/>
            </w:tcMar>
          </w:tcPr>
          <w:p>
            <w:pPr>
              <w:jc w:val="center"/>
            </w:pPr>
            <w:r>
              <w:rPr>
                <w:rFonts w:ascii="Arial" w:cs="Arial" w:eastAsia="Arial" w:hAnsi="Arial"/>
                <w:b/>
                <w:bCs/>
                <w:color w:val="B8860B"/>
                <w:sz w:val="52"/>
                <w:szCs w:val="52"/>
              </w:rPr>
              <w:t xml:space="preserve">1 in 3</w:t>
            </w:r>
          </w:p>
          <w:p>
            <w:pPr>
              <w:spacing w:before="60"/>
              <w:jc w:val="center"/>
            </w:pPr>
            <w:r>
              <w:rPr>
                <w:rFonts w:ascii="Arial" w:cs="Arial" w:eastAsia="Arial" w:hAnsi="Arial"/>
                <w:color w:val="FFFFFF"/>
                <w:sz w:val="18"/>
                <w:szCs w:val="18"/>
              </w:rPr>
              <w:t xml:space="preserve">Transactions lost due to trust issues at first contact</w:t>
            </w:r>
          </w:p>
        </w:tc>
      </w:tr>
    </w:tbl>
    <w:p>
      <w:r>
        <w:t xml:space="preserve"/>
      </w:r>
    </w:p>
    <w:p>
      <w:pPr>
        <w:spacing w:before="80" w:after="80"/>
        <w:jc w:val="left"/>
      </w:pPr>
      <w:r>
        <w:rPr>
          <w:rFonts w:ascii="Georgia" w:cs="Georgia" w:eastAsia="Georgia" w:hAnsi="Georgia"/>
          <w:b w:val="false"/>
          <w:bCs w:val="false"/>
          <w:i w:val="false"/>
          <w:iCs w:val="false"/>
          <w:color w:val="222222"/>
          <w:sz w:val="22"/>
          <w:szCs w:val="22"/>
        </w:rPr>
        <w:t xml:space="preserve">Consumer trust is the single most critical commercial challenge in the cash-for-gold and bullion buying sectors. Customers believe — often incorrectly — that gold buyers underpay, manipulate purity tests, or operate dishonestly. This perception, amplified by negative reviews and social media commentary, creates enormous friction in the sales process.</w:t>
      </w:r>
    </w:p>
    <w:p>
      <w:pPr>
        <w:pStyle w:val="ListParagraph"/>
        <w:numPr>
          <w:ilvl w:val="0"/>
          <w:numId w:val="2"/>
        </w:numPr>
        <w:spacing w:before="60" w:after="60"/>
      </w:pPr>
      <w:r>
        <w:rPr>
          <w:rFonts w:ascii="Georgia" w:cs="Georgia" w:eastAsia="Georgia" w:hAnsi="Georgia"/>
          <w:color w:val="222222"/>
          <w:sz w:val="22"/>
          <w:szCs w:val="22"/>
        </w:rPr>
        <w:t xml:space="preserve">Unclear valuation methods drive customer abandonment before the first call</w:t>
      </w:r>
    </w:p>
    <w:p>
      <w:pPr>
        <w:pStyle w:val="ListParagraph"/>
        <w:numPr>
          <w:ilvl w:val="0"/>
          <w:numId w:val="2"/>
        </w:numPr>
        <w:spacing w:before="60" w:after="60"/>
      </w:pPr>
      <w:r>
        <w:rPr>
          <w:rFonts w:ascii="Georgia" w:cs="Georgia" w:eastAsia="Georgia" w:hAnsi="Georgia"/>
          <w:color w:val="222222"/>
          <w:sz w:val="22"/>
          <w:szCs w:val="22"/>
        </w:rPr>
        <w:t xml:space="preserve">A single negative Google review can reduce enquiry volume by 15–30% for local businesses</w:t>
      </w:r>
    </w:p>
    <w:p>
      <w:pPr>
        <w:pStyle w:val="ListParagraph"/>
        <w:numPr>
          <w:ilvl w:val="0"/>
          <w:numId w:val="2"/>
        </w:numPr>
        <w:spacing w:before="60" w:after="60"/>
      </w:pPr>
      <w:r>
        <w:rPr>
          <w:rFonts w:ascii="Georgia" w:cs="Georgia" w:eastAsia="Georgia" w:hAnsi="Georgia"/>
          <w:color w:val="222222"/>
          <w:sz w:val="22"/>
          <w:szCs w:val="22"/>
        </w:rPr>
        <w:t xml:space="preserve">Mail-in gold services face the highest trust barrier — customers fear losing jewellery permanently</w:t>
      </w:r>
    </w:p>
    <w:p>
      <w:pPr>
        <w:pStyle w:val="ListParagraph"/>
        <w:numPr>
          <w:ilvl w:val="0"/>
          <w:numId w:val="2"/>
        </w:numPr>
        <w:spacing w:before="60" w:after="60"/>
      </w:pPr>
      <w:r>
        <w:rPr>
          <w:rFonts w:ascii="Georgia" w:cs="Georgia" w:eastAsia="Georgia" w:hAnsi="Georgia"/>
          <w:color w:val="222222"/>
          <w:sz w:val="22"/>
          <w:szCs w:val="22"/>
        </w:rPr>
        <w:t xml:space="preserve">Businesses with verified trust signals (accreditation badges, transparent pricing pages, video testimonials) convert significantly higher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2"/>
              <w:left w:val="thick" w:color="B8860B" w:sz="14"/>
              <w:bottom w:val="single" w:color="B8860B" w:sz="2"/>
              <w:right w:val="single" w:color="B8860B" w:sz="2"/>
            </w:tcBorders>
            <w:shd w:fill="F9F5EC" w:val="clear"/>
            <w:tcMar>
              <w:top w:type="dxa" w:w="140"/>
              <w:left w:type="dxa" w:w="200"/>
              <w:bottom w:type="dxa" w:w="140"/>
              <w:right w:type="dxa" w:w="160"/>
            </w:tcMar>
          </w:tcPr>
          <w:p>
            <w:r>
              <w:rPr>
                <w:rFonts w:ascii="Arial" w:cs="Arial" w:eastAsia="Arial" w:hAnsi="Arial"/>
                <w:b/>
                <w:bCs/>
                <w:color w:val="1B3A5C"/>
                <w:sz w:val="22"/>
                <w:szCs w:val="22"/>
              </w:rPr>
              <w:t xml:space="preserve">Growth Opportunity</w:t>
            </w:r>
          </w:p>
          <w:p>
            <w:r>
              <w:t xml:space="preserve"/>
            </w:r>
          </w:p>
          <w:p>
            <w:pPr>
              <w:spacing w:before="0" w:after="0"/>
            </w:pPr>
            <w:r>
              <w:rPr>
                <w:rFonts w:ascii="Georgia" w:cs="Georgia" w:eastAsia="Georgia" w:hAnsi="Georgia"/>
                <w:color w:val="222222"/>
                <w:sz w:val="22"/>
                <w:szCs w:val="22"/>
              </w:rPr>
              <w:t xml:space="preserve">Businesses that invest in transparent pricing pages, video walkthroughs of the valuation process, Google review systems, and trust-led landing pages see measurably higher conversion rates — often 25–40% improvement in quote-to-sale ratios.</w:t>
            </w:r>
          </w:p>
        </w:tc>
      </w:tr>
    </w:tbl>
    <w:p>
      <w:r>
        <w:t xml:space="preserve"/>
      </w:r>
    </w:p>
    <w:p>
      <w:pPr>
        <w:pStyle w:val="Heading2"/>
        <w:spacing w:before="280" w:after="120"/>
      </w:pPr>
      <w:r>
        <w:rPr>
          <w:rFonts w:ascii="Arial" w:cs="Arial" w:eastAsia="Arial" w:hAnsi="Arial"/>
          <w:b/>
          <w:bCs/>
          <w:color w:val="2E6DA4"/>
          <w:sz w:val="28"/>
          <w:szCs w:val="28"/>
        </w:rPr>
        <w:t xml:space="preserve">Challenge 2 — Lead Generation &amp; Digital Visibility</w:t>
      </w:r>
    </w:p>
    <w:p>
      <w:pPr>
        <w:spacing w:before="80" w:after="80"/>
        <w:jc w:val="left"/>
      </w:pPr>
      <w:r>
        <w:rPr>
          <w:rFonts w:ascii="Georgia" w:cs="Georgia" w:eastAsia="Georgia" w:hAnsi="Georgia"/>
          <w:b w:val="false"/>
          <w:bCs w:val="false"/>
          <w:i w:val="false"/>
          <w:iCs w:val="false"/>
          <w:color w:val="222222"/>
          <w:sz w:val="22"/>
          <w:szCs w:val="22"/>
        </w:rPr>
        <w:t xml:space="preserve">Most cash-for-gold businesses and local bullion dealers still rely on walk-in traffic, word-of-mouth, and legacy advertising. This model is structurally declining.</w:t>
      </w:r>
    </w:p>
    <w:p>
      <w:pPr>
        <w:pStyle w:val="ListParagraph"/>
        <w:numPr>
          <w:ilvl w:val="0"/>
          <w:numId w:val="2"/>
        </w:numPr>
        <w:spacing w:before="60" w:after="60"/>
      </w:pPr>
      <w:r>
        <w:rPr>
          <w:rFonts w:ascii="Georgia" w:cs="Georgia" w:eastAsia="Georgia" w:hAnsi="Georgia"/>
          <w:color w:val="222222"/>
          <w:sz w:val="22"/>
          <w:szCs w:val="22"/>
        </w:rPr>
        <w:t xml:space="preserve">Google Maps is now the primary discovery channel for local gold buyers — yet most businesses rank poorly</w:t>
      </w:r>
    </w:p>
    <w:p>
      <w:pPr>
        <w:pStyle w:val="ListParagraph"/>
        <w:numPr>
          <w:ilvl w:val="0"/>
          <w:numId w:val="2"/>
        </w:numPr>
        <w:spacing w:before="60" w:after="60"/>
      </w:pPr>
      <w:r>
        <w:rPr>
          <w:rFonts w:ascii="Georgia" w:cs="Georgia" w:eastAsia="Georgia" w:hAnsi="Georgia"/>
          <w:color w:val="222222"/>
          <w:sz w:val="22"/>
          <w:szCs w:val="22"/>
        </w:rPr>
        <w:t xml:space="preserve">The average cash-for-gold business has fewer than 20 Google reviews, compared to 150+ for the top-ranked competitor</w:t>
      </w:r>
    </w:p>
    <w:p>
      <w:pPr>
        <w:pStyle w:val="ListParagraph"/>
        <w:numPr>
          <w:ilvl w:val="0"/>
          <w:numId w:val="2"/>
        </w:numPr>
        <w:spacing w:before="60" w:after="60"/>
      </w:pPr>
      <w:r>
        <w:rPr>
          <w:rFonts w:ascii="Georgia" w:cs="Georgia" w:eastAsia="Georgia" w:hAnsi="Georgia"/>
          <w:color w:val="222222"/>
          <w:sz w:val="22"/>
          <w:szCs w:val="22"/>
        </w:rPr>
        <w:t xml:space="preserve">Websites for gold buying businesses typically convert less than 2% of visitors — industry leaders achieve 8–12%</w:t>
      </w:r>
    </w:p>
    <w:p>
      <w:pPr>
        <w:pStyle w:val="ListParagraph"/>
        <w:numPr>
          <w:ilvl w:val="0"/>
          <w:numId w:val="2"/>
        </w:numPr>
        <w:spacing w:before="60" w:after="60"/>
      </w:pPr>
      <w:r>
        <w:rPr>
          <w:rFonts w:ascii="Georgia" w:cs="Georgia" w:eastAsia="Georgia" w:hAnsi="Georgia"/>
          <w:color w:val="222222"/>
          <w:sz w:val="22"/>
          <w:szCs w:val="22"/>
        </w:rPr>
        <w:t xml:space="preserve">Most businesses have no structured lead capture: no form, no call tracking, no CRM, no follow-up sequence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2"/>
              <w:left w:val="thick" w:color="B8860B" w:sz="14"/>
              <w:bottom w:val="single" w:color="B8860B" w:sz="2"/>
              <w:right w:val="single" w:color="B8860B" w:sz="2"/>
            </w:tcBorders>
            <w:shd w:fill="F9F5EC" w:val="clear"/>
            <w:tcMar>
              <w:top w:type="dxa" w:w="140"/>
              <w:left w:type="dxa" w:w="200"/>
              <w:bottom w:type="dxa" w:w="140"/>
              <w:right w:type="dxa" w:w="160"/>
            </w:tcMar>
          </w:tcPr>
          <w:p>
            <w:r>
              <w:rPr>
                <w:rFonts w:ascii="Arial" w:cs="Arial" w:eastAsia="Arial" w:hAnsi="Arial"/>
                <w:b/>
                <w:bCs/>
                <w:color w:val="1B3A5C"/>
                <w:sz w:val="22"/>
                <w:szCs w:val="22"/>
              </w:rPr>
              <w:t xml:space="preserve">Benchmark</w:t>
            </w:r>
          </w:p>
          <w:p>
            <w:r>
              <w:t xml:space="preserve"/>
            </w:r>
          </w:p>
          <w:p>
            <w:pPr>
              <w:spacing w:before="0" w:after="0"/>
            </w:pPr>
            <w:r>
              <w:rPr>
                <w:rFonts w:ascii="Georgia" w:cs="Georgia" w:eastAsia="Georgia" w:hAnsi="Georgia"/>
                <w:color w:val="222222"/>
                <w:sz w:val="22"/>
                <w:szCs w:val="22"/>
              </w:rPr>
              <w:t xml:space="preserve">Businesses that implement structured local SEO, review generation, and a basic CRM lead capture system report a 40–70% increase in qualified enquiry volume within six months.</w:t>
            </w:r>
          </w:p>
        </w:tc>
      </w:tr>
    </w:tbl>
    <w:p>
      <w:r>
        <w:t xml:space="preserve"/>
      </w:r>
    </w:p>
    <w:p>
      <w:pPr>
        <w:pStyle w:val="Heading2"/>
        <w:spacing w:before="280" w:after="120"/>
      </w:pPr>
      <w:r>
        <w:rPr>
          <w:rFonts w:ascii="Arial" w:cs="Arial" w:eastAsia="Arial" w:hAnsi="Arial"/>
          <w:b/>
          <w:bCs/>
          <w:color w:val="2E6DA4"/>
          <w:sz w:val="28"/>
          <w:szCs w:val="28"/>
        </w:rPr>
        <w:t xml:space="preserve">Challenge 3 — Operational Inefficiency</w:t>
      </w:r>
    </w:p>
    <w:p>
      <w:pPr>
        <w:spacing w:before="80" w:after="80"/>
        <w:jc w:val="left"/>
      </w:pPr>
      <w:r>
        <w:rPr>
          <w:rFonts w:ascii="Georgia" w:cs="Georgia" w:eastAsia="Georgia" w:hAnsi="Georgia"/>
          <w:b w:val="false"/>
          <w:bCs w:val="false"/>
          <w:i w:val="false"/>
          <w:iCs w:val="false"/>
          <w:color w:val="222222"/>
          <w:sz w:val="22"/>
          <w:szCs w:val="22"/>
        </w:rPr>
        <w:t xml:space="preserve">Manual workflows are a hidden profit drain across every tier of the industry. The problem intensifies as businesses scale.</w:t>
      </w:r>
    </w:p>
    <w:p>
      <w:pPr>
        <w:pStyle w:val="ListParagraph"/>
        <w:numPr>
          <w:ilvl w:val="0"/>
          <w:numId w:val="2"/>
        </w:numPr>
        <w:spacing w:before="60" w:after="60"/>
      </w:pPr>
      <w:r>
        <w:rPr>
          <w:rFonts w:ascii="Georgia" w:cs="Georgia" w:eastAsia="Georgia" w:hAnsi="Georgia"/>
          <w:color w:val="222222"/>
          <w:sz w:val="22"/>
          <w:szCs w:val="22"/>
        </w:rPr>
        <w:t xml:space="preserve">Manual KYC verification adds 15–45 minutes per transaction and introduces compliance risk</w:t>
      </w:r>
    </w:p>
    <w:p>
      <w:pPr>
        <w:pStyle w:val="ListParagraph"/>
        <w:numPr>
          <w:ilvl w:val="0"/>
          <w:numId w:val="2"/>
        </w:numPr>
        <w:spacing w:before="60" w:after="60"/>
      </w:pPr>
      <w:r>
        <w:rPr>
          <w:rFonts w:ascii="Georgia" w:cs="Georgia" w:eastAsia="Georgia" w:hAnsi="Georgia"/>
          <w:color w:val="222222"/>
          <w:sz w:val="22"/>
          <w:szCs w:val="22"/>
        </w:rPr>
        <w:t xml:space="preserve">Manual quote handling means leads are left waiting — and go to a competitor</w:t>
      </w:r>
    </w:p>
    <w:p>
      <w:pPr>
        <w:pStyle w:val="ListParagraph"/>
        <w:numPr>
          <w:ilvl w:val="0"/>
          <w:numId w:val="2"/>
        </w:numPr>
        <w:spacing w:before="60" w:after="60"/>
      </w:pPr>
      <w:r>
        <w:rPr>
          <w:rFonts w:ascii="Georgia" w:cs="Georgia" w:eastAsia="Georgia" w:hAnsi="Georgia"/>
          <w:color w:val="222222"/>
          <w:sz w:val="22"/>
          <w:szCs w:val="22"/>
        </w:rPr>
        <w:t xml:space="preserve">Spreadsheet-based inventory tracking leads to pricing errors during volatile market conditions</w:t>
      </w:r>
    </w:p>
    <w:p>
      <w:pPr>
        <w:pStyle w:val="ListParagraph"/>
        <w:numPr>
          <w:ilvl w:val="0"/>
          <w:numId w:val="2"/>
        </w:numPr>
        <w:spacing w:before="60" w:after="60"/>
      </w:pPr>
      <w:r>
        <w:rPr>
          <w:rFonts w:ascii="Georgia" w:cs="Georgia" w:eastAsia="Georgia" w:hAnsi="Georgia"/>
          <w:color w:val="222222"/>
          <w:sz w:val="22"/>
          <w:szCs w:val="22"/>
        </w:rPr>
        <w:t xml:space="preserve">Multi-location businesses with no centralised dashboard cannot identify underperforming branches</w:t>
      </w:r>
    </w:p>
    <w:p>
      <w:pPr>
        <w:pStyle w:val="ListParagraph"/>
        <w:numPr>
          <w:ilvl w:val="0"/>
          <w:numId w:val="2"/>
        </w:numPr>
        <w:spacing w:before="60" w:after="60"/>
      </w:pPr>
      <w:r>
        <w:rPr>
          <w:rFonts w:ascii="Georgia" w:cs="Georgia" w:eastAsia="Georgia" w:hAnsi="Georgia"/>
          <w:color w:val="222222"/>
          <w:sz w:val="22"/>
          <w:szCs w:val="22"/>
        </w:rPr>
        <w:t xml:space="preserve">Settlement delays from refiners are compounded by poor internal cash-flow tracking</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1680"/>
        <w:gridCol w:w="1800"/>
        <w:gridCol w:w="3360"/>
      </w:tblGrid>
      <w:tr>
        <w:tc>
          <w:tcPr>
            <w:tcW w:type="dxa" w:w="252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Process</w:t>
            </w:r>
          </w:p>
        </w:tc>
        <w:tc>
          <w:tcPr>
            <w:tcW w:type="dxa" w:w="168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Manual Time</w:t>
            </w:r>
          </w:p>
        </w:tc>
        <w:tc>
          <w:tcPr>
            <w:tcW w:type="dxa" w:w="180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Automated Time</w:t>
            </w:r>
          </w:p>
        </w:tc>
        <w:tc>
          <w:tcPr>
            <w:tcW w:type="dxa" w:w="336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Impact</w:t>
            </w:r>
          </w:p>
        </w:tc>
      </w:tr>
      <w:tr>
        <w:tc>
          <w:tcPr>
            <w:tcW w:type="dxa" w:w="25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Customer KYC</w:t>
            </w:r>
          </w:p>
        </w:tc>
        <w:tc>
          <w:tcPr>
            <w:tcW w:type="dxa" w:w="16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20–45 min</w:t>
            </w:r>
          </w:p>
        </w:tc>
        <w:tc>
          <w:tcPr>
            <w:tcW w:type="dxa" w:w="18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3–5 min</w:t>
            </w:r>
          </w:p>
        </w:tc>
        <w:tc>
          <w:tcPr>
            <w:tcW w:type="dxa" w:w="33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Higher throughput, lower compliance risk</w:t>
            </w:r>
          </w:p>
        </w:tc>
      </w:tr>
      <w:tr>
        <w:tc>
          <w:tcPr>
            <w:tcW w:type="dxa" w:w="25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Quote generation</w:t>
            </w:r>
          </w:p>
        </w:tc>
        <w:tc>
          <w:tcPr>
            <w:tcW w:type="dxa" w:w="16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10–20 min</w:t>
            </w:r>
          </w:p>
        </w:tc>
        <w:tc>
          <w:tcPr>
            <w:tcW w:type="dxa" w:w="18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Instant</w:t>
            </w:r>
          </w:p>
        </w:tc>
        <w:tc>
          <w:tcPr>
            <w:tcW w:type="dxa" w:w="33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Faster conversion, fewer lost leads</w:t>
            </w:r>
          </w:p>
        </w:tc>
      </w:tr>
      <w:tr>
        <w:tc>
          <w:tcPr>
            <w:tcW w:type="dxa" w:w="25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Lead follow-up</w:t>
            </w:r>
          </w:p>
        </w:tc>
        <w:tc>
          <w:tcPr>
            <w:tcW w:type="dxa" w:w="16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Manual / forgotten</w:t>
            </w:r>
          </w:p>
        </w:tc>
        <w:tc>
          <w:tcPr>
            <w:tcW w:type="dxa" w:w="18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Automated within 5 min</w:t>
            </w:r>
          </w:p>
        </w:tc>
        <w:tc>
          <w:tcPr>
            <w:tcW w:type="dxa" w:w="33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Significant uplift in conversion</w:t>
            </w:r>
          </w:p>
        </w:tc>
      </w:tr>
      <w:tr>
        <w:tc>
          <w:tcPr>
            <w:tcW w:type="dxa" w:w="25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Branch KPI reporting</w:t>
            </w:r>
          </w:p>
        </w:tc>
        <w:tc>
          <w:tcPr>
            <w:tcW w:type="dxa" w:w="16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Half-day monthly</w:t>
            </w:r>
          </w:p>
        </w:tc>
        <w:tc>
          <w:tcPr>
            <w:tcW w:type="dxa" w:w="18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Real-time dashboard</w:t>
            </w:r>
          </w:p>
        </w:tc>
        <w:tc>
          <w:tcPr>
            <w:tcW w:type="dxa" w:w="33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Better decisions, faster intervention</w:t>
            </w:r>
          </w:p>
        </w:tc>
      </w:tr>
    </w:tbl>
    <w:p>
      <w:r>
        <w:t xml:space="preserve"/>
      </w:r>
    </w:p>
    <w:p>
      <w:pPr>
        <w:pStyle w:val="Heading2"/>
        <w:spacing w:before="280" w:after="120"/>
      </w:pPr>
      <w:r>
        <w:rPr>
          <w:rFonts w:ascii="Arial" w:cs="Arial" w:eastAsia="Arial" w:hAnsi="Arial"/>
          <w:b/>
          <w:bCs/>
          <w:color w:val="2E6DA4"/>
          <w:sz w:val="28"/>
          <w:szCs w:val="28"/>
        </w:rPr>
        <w:t xml:space="preserve">Challenge 4 — Pricing Pressure &amp; Margin Compression</w:t>
      </w:r>
    </w:p>
    <w:p>
      <w:pPr>
        <w:spacing w:before="80" w:after="80"/>
        <w:jc w:val="left"/>
      </w:pPr>
      <w:r>
        <w:rPr>
          <w:rFonts w:ascii="Georgia" w:cs="Georgia" w:eastAsia="Georgia" w:hAnsi="Georgia"/>
          <w:b w:val="false"/>
          <w:bCs w:val="false"/>
          <w:i w:val="false"/>
          <w:iCs w:val="false"/>
          <w:color w:val="222222"/>
          <w:sz w:val="22"/>
          <w:szCs w:val="22"/>
        </w:rPr>
        <w:t xml:space="preserve">Gold price volatility creates structural tension across the industry. Higher spot prices raise consumer expectations while compressing operational margins for businesses with slow processes or working capital constraints.</w:t>
      </w:r>
    </w:p>
    <w:p>
      <w:pPr>
        <w:pStyle w:val="ListParagraph"/>
        <w:numPr>
          <w:ilvl w:val="0"/>
          <w:numId w:val="2"/>
        </w:numPr>
        <w:spacing w:before="60" w:after="60"/>
      </w:pPr>
      <w:r>
        <w:rPr>
          <w:rFonts w:ascii="Georgia" w:cs="Georgia" w:eastAsia="Georgia" w:hAnsi="Georgia"/>
          <w:color w:val="222222"/>
          <w:sz w:val="22"/>
          <w:szCs w:val="22"/>
        </w:rPr>
        <w:t xml:space="preserve">Customers increasingly expect spot price for scrap — creating mis-matched expectations</w:t>
      </w:r>
    </w:p>
    <w:p>
      <w:pPr>
        <w:pStyle w:val="ListParagraph"/>
        <w:numPr>
          <w:ilvl w:val="0"/>
          <w:numId w:val="2"/>
        </w:numPr>
        <w:spacing w:before="60" w:after="60"/>
      </w:pPr>
      <w:r>
        <w:rPr>
          <w:rFonts w:ascii="Georgia" w:cs="Georgia" w:eastAsia="Georgia" w:hAnsi="Georgia"/>
          <w:color w:val="222222"/>
          <w:sz w:val="22"/>
          <w:szCs w:val="22"/>
        </w:rPr>
        <w:t xml:space="preserve">Refiner treatment charges and settlement delays create working capital gaps</w:t>
      </w:r>
    </w:p>
    <w:p>
      <w:pPr>
        <w:pStyle w:val="ListParagraph"/>
        <w:numPr>
          <w:ilvl w:val="0"/>
          <w:numId w:val="2"/>
        </w:numPr>
        <w:spacing w:before="60" w:after="60"/>
      </w:pPr>
      <w:r>
        <w:rPr>
          <w:rFonts w:ascii="Georgia" w:cs="Georgia" w:eastAsia="Georgia" w:hAnsi="Georgia"/>
          <w:color w:val="222222"/>
          <w:sz w:val="22"/>
          <w:szCs w:val="22"/>
        </w:rPr>
        <w:t xml:space="preserve">Online comparison platforms put permanent downward pressure on premiums for bullion dealers</w:t>
      </w:r>
    </w:p>
    <w:p>
      <w:pPr>
        <w:pStyle w:val="ListParagraph"/>
        <w:numPr>
          <w:ilvl w:val="0"/>
          <w:numId w:val="2"/>
        </w:numPr>
        <w:spacing w:before="60" w:after="60"/>
      </w:pPr>
      <w:r>
        <w:rPr>
          <w:rFonts w:ascii="Georgia" w:cs="Georgia" w:eastAsia="Georgia" w:hAnsi="Georgia"/>
          <w:color w:val="222222"/>
          <w:sz w:val="22"/>
          <w:szCs w:val="22"/>
        </w:rPr>
        <w:t xml:space="preserve">Fraud, chargebacks, and payment risk are rising for eCommerce bullion businesses</w:t>
      </w:r>
    </w:p>
    <w:p>
      <w:r>
        <w:t xml:space="preserve"/>
      </w:r>
    </w:p>
    <w:p>
      <w:pPr>
        <w:pStyle w:val="Heading2"/>
        <w:spacing w:before="280" w:after="120"/>
      </w:pPr>
      <w:r>
        <w:rPr>
          <w:rFonts w:ascii="Arial" w:cs="Arial" w:eastAsia="Arial" w:hAnsi="Arial"/>
          <w:b/>
          <w:bCs/>
          <w:color w:val="2E6DA4"/>
          <w:sz w:val="28"/>
          <w:szCs w:val="28"/>
        </w:rPr>
        <w:t xml:space="preserve">Challenge 5 — Competition &amp; Consolidation</w:t>
      </w:r>
    </w:p>
    <w:p>
      <w:pPr>
        <w:spacing w:before="80" w:after="80"/>
        <w:jc w:val="left"/>
      </w:pPr>
      <w:r>
        <w:rPr>
          <w:rFonts w:ascii="Georgia" w:cs="Georgia" w:eastAsia="Georgia" w:hAnsi="Georgia"/>
          <w:b w:val="false"/>
          <w:bCs w:val="false"/>
          <w:i w:val="false"/>
          <w:iCs w:val="false"/>
          <w:color w:val="222222"/>
          <w:sz w:val="22"/>
          <w:szCs w:val="22"/>
        </w:rPr>
        <w:t xml:space="preserve">The industry is consolidating at the retail end, with larger chains and digitally sophisticated operators capturing market share from independent businesses.</w:t>
      </w:r>
    </w:p>
    <w:p>
      <w:pPr>
        <w:pStyle w:val="ListParagraph"/>
        <w:numPr>
          <w:ilvl w:val="0"/>
          <w:numId w:val="2"/>
        </w:numPr>
        <w:spacing w:before="60" w:after="60"/>
      </w:pPr>
      <w:r>
        <w:rPr>
          <w:rFonts w:ascii="Georgia" w:cs="Georgia" w:eastAsia="Georgia" w:hAnsi="Georgia"/>
          <w:color w:val="222222"/>
          <w:sz w:val="22"/>
          <w:szCs w:val="22"/>
        </w:rPr>
        <w:t xml:space="preserve">National cash-for-gold chains are investing heavily in local SEO and brand trust infrastructure</w:t>
      </w:r>
    </w:p>
    <w:p>
      <w:pPr>
        <w:pStyle w:val="ListParagraph"/>
        <w:numPr>
          <w:ilvl w:val="0"/>
          <w:numId w:val="2"/>
        </w:numPr>
        <w:spacing w:before="60" w:after="60"/>
      </w:pPr>
      <w:r>
        <w:rPr>
          <w:rFonts w:ascii="Georgia" w:cs="Georgia" w:eastAsia="Georgia" w:hAnsi="Georgia"/>
          <w:color w:val="222222"/>
          <w:sz w:val="22"/>
          <w:szCs w:val="22"/>
        </w:rPr>
        <w:t xml:space="preserve">Online bullion dealers with strong UX and authority content are capturing customers who would previously have visited a local shop</w:t>
      </w:r>
    </w:p>
    <w:p>
      <w:pPr>
        <w:pStyle w:val="ListParagraph"/>
        <w:numPr>
          <w:ilvl w:val="0"/>
          <w:numId w:val="2"/>
        </w:numPr>
        <w:spacing w:before="60" w:after="60"/>
      </w:pPr>
      <w:r>
        <w:rPr>
          <w:rFonts w:ascii="Georgia" w:cs="Georgia" w:eastAsia="Georgia" w:hAnsi="Georgia"/>
          <w:color w:val="222222"/>
          <w:sz w:val="22"/>
          <w:szCs w:val="22"/>
        </w:rPr>
        <w:t xml:space="preserve">Pawnbrokers are entering the gold buying market, increasing local competition</w:t>
      </w:r>
    </w:p>
    <w:p>
      <w:pPr>
        <w:pStyle w:val="ListParagraph"/>
        <w:numPr>
          <w:ilvl w:val="0"/>
          <w:numId w:val="2"/>
        </w:numPr>
        <w:spacing w:before="60" w:after="60"/>
      </w:pPr>
      <w:r>
        <w:rPr>
          <w:rFonts w:ascii="Georgia" w:cs="Georgia" w:eastAsia="Georgia" w:hAnsi="Georgia"/>
          <w:color w:val="222222"/>
          <w:sz w:val="22"/>
          <w:szCs w:val="22"/>
        </w:rPr>
        <w:t xml:space="preserve">Businesses with no digital presence lose customers before they ever interact with them</w:t>
      </w:r>
    </w:p>
    <w:p>
      <w:r>
        <w:t xml:space="preserve"/>
      </w:r>
    </w:p>
    <w:p>
      <w:r>
        <w:t xml:space="preserve"/>
      </w:r>
    </w:p>
    <w:p>
      <w:r>
        <w:br w:type="page"/>
      </w:r>
    </w:p>
    <w:p>
      <w:pPr>
        <w:pStyle w:val="Heading1"/>
        <w:spacing w:before="400" w:after="160"/>
      </w:pPr>
      <w:r>
        <w:rPr>
          <w:rFonts w:ascii="Arial" w:cs="Arial" w:eastAsia="Arial" w:hAnsi="Arial"/>
          <w:b/>
          <w:bCs/>
          <w:color w:val="1B3A5C"/>
          <w:sz w:val="36"/>
          <w:szCs w:val="36"/>
        </w:rPr>
        <w:t xml:space="preserve">Section 3: Digital Transformation — What the Leaders Are Doing</w:t>
      </w:r>
    </w:p>
    <w:p>
      <w:pPr>
        <w:pBdr>
          <w:bottom w:val="single" w:color="B8860B" w:sz="6" w:space="4"/>
        </w:pBdr>
        <w:spacing w:before="40" w:after="200"/>
      </w:pPr>
      <w:r>
        <w:t xml:space="preserve"/>
      </w:r>
    </w:p>
    <w:p>
      <w:pPr>
        <w:spacing w:before="80" w:after="80"/>
        <w:jc w:val="left"/>
      </w:pPr>
      <w:r>
        <w:rPr>
          <w:rFonts w:ascii="Georgia" w:cs="Georgia" w:eastAsia="Georgia" w:hAnsi="Georgia"/>
          <w:b w:val="false"/>
          <w:bCs w:val="false"/>
          <w:i w:val="false"/>
          <w:iCs w:val="false"/>
          <w:color w:val="222222"/>
          <w:sz w:val="22"/>
          <w:szCs w:val="22"/>
        </w:rPr>
        <w:t xml:space="preserve">The precious metals businesses that are growing in 2025–2026 share a common pattern: they have invested in digital infrastructure — not just advertising spend — while their competitors have not.</w:t>
      </w:r>
    </w:p>
    <w:p>
      <w:r>
        <w:t xml:space="preserve"/>
      </w:r>
    </w:p>
    <w:p>
      <w:pPr>
        <w:pStyle w:val="Heading2"/>
        <w:spacing w:before="280" w:after="120"/>
      </w:pPr>
      <w:r>
        <w:rPr>
          <w:rFonts w:ascii="Arial" w:cs="Arial" w:eastAsia="Arial" w:hAnsi="Arial"/>
          <w:b/>
          <w:bCs/>
          <w:color w:val="2E6DA4"/>
          <w:sz w:val="28"/>
          <w:szCs w:val="28"/>
        </w:rPr>
        <w:t xml:space="preserve">3.1  The Digital Maturity Ladder</w:t>
      </w:r>
    </w:p>
    <w:p>
      <w:pPr>
        <w:spacing w:before="80" w:after="80"/>
        <w:jc w:val="left"/>
      </w:pPr>
      <w:r>
        <w:rPr>
          <w:rFonts w:ascii="Georgia" w:cs="Georgia" w:eastAsia="Georgia" w:hAnsi="Georgia"/>
          <w:b w:val="false"/>
          <w:bCs w:val="false"/>
          <w:i w:val="false"/>
          <w:iCs w:val="false"/>
          <w:color w:val="222222"/>
          <w:sz w:val="22"/>
          <w:szCs w:val="22"/>
        </w:rPr>
        <w:t xml:space="preserve">Most precious metals businesses sit at one of four levels of digital maturity: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4320"/>
        <w:gridCol w:w="3600"/>
      </w:tblGrid>
      <w:tr>
        <w:tc>
          <w:tcPr>
            <w:tcW w:type="dxa" w:w="144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Level</w:t>
            </w:r>
          </w:p>
        </w:tc>
        <w:tc>
          <w:tcPr>
            <w:tcW w:type="dxa" w:w="432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Description</w:t>
            </w:r>
          </w:p>
        </w:tc>
        <w:tc>
          <w:tcPr>
            <w:tcW w:type="dxa" w:w="360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Typical Business</w:t>
            </w:r>
          </w:p>
        </w:tc>
      </w:tr>
      <w:tr>
        <w:tc>
          <w:tcPr>
            <w:tcW w:type="dxa" w:w="144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Level 1 — Offline</w:t>
            </w:r>
          </w:p>
        </w:tc>
        <w:tc>
          <w:tcPr>
            <w:tcW w:type="dxa" w:w="43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No website or basic static website. No reviews. Walk-in only.</w:t>
            </w:r>
          </w:p>
        </w:tc>
        <w:tc>
          <w:tcPr>
            <w:tcW w:type="dxa" w:w="36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Single-location independents, family-run shops</w:t>
            </w:r>
          </w:p>
        </w:tc>
      </w:tr>
      <w:tr>
        <w:tc>
          <w:tcPr>
            <w:tcW w:type="dxa" w:w="144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Level 2 — Present</w:t>
            </w:r>
          </w:p>
        </w:tc>
        <w:tc>
          <w:tcPr>
            <w:tcW w:type="dxa" w:w="43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Website exists. Some Google reviews. Basic social media. No tracking.</w:t>
            </w:r>
          </w:p>
        </w:tc>
        <w:tc>
          <w:tcPr>
            <w:tcW w:type="dxa" w:w="36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Most cash-for-gold shops, local coin dealers</w:t>
            </w:r>
          </w:p>
        </w:tc>
      </w:tr>
      <w:tr>
        <w:tc>
          <w:tcPr>
            <w:tcW w:type="dxa" w:w="144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Level 3 — Active</w:t>
            </w:r>
          </w:p>
        </w:tc>
        <w:tc>
          <w:tcPr>
            <w:tcW w:type="dxa" w:w="43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SEO in place. CRM started. Reviews managed. Basic automation.</w:t>
            </w:r>
          </w:p>
        </w:tc>
        <w:tc>
          <w:tcPr>
            <w:tcW w:type="dxa" w:w="36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Growing multi-location buyers, online bullion entrants</w:t>
            </w:r>
          </w:p>
        </w:tc>
      </w:tr>
      <w:tr>
        <w:tc>
          <w:tcPr>
            <w:tcW w:type="dxa" w:w="144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Level 4 — Growth System</w:t>
            </w:r>
          </w:p>
        </w:tc>
        <w:tc>
          <w:tcPr>
            <w:tcW w:type="dxa" w:w="43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Full SEO. CRM + automation. Attribution tracked. KPIs managed. Continuous optimisation.</w:t>
            </w:r>
          </w:p>
        </w:tc>
        <w:tc>
          <w:tcPr>
            <w:tcW w:type="dxa" w:w="36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Top 10% of the market — pulling away from competitors</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2"/>
              <w:left w:val="thick" w:color="B8860B" w:sz="14"/>
              <w:bottom w:val="single" w:color="B8860B" w:sz="2"/>
              <w:right w:val="single" w:color="B8860B" w:sz="2"/>
            </w:tcBorders>
            <w:shd w:fill="F9F5EC" w:val="clear"/>
            <w:tcMar>
              <w:top w:type="dxa" w:w="140"/>
              <w:left w:type="dxa" w:w="200"/>
              <w:bottom w:type="dxa" w:w="140"/>
              <w:right w:type="dxa" w:w="160"/>
            </w:tcMar>
          </w:tcPr>
          <w:p>
            <w:r>
              <w:rPr>
                <w:rFonts w:ascii="Arial" w:cs="Arial" w:eastAsia="Arial" w:hAnsi="Arial"/>
                <w:b/>
                <w:bCs/>
                <w:color w:val="1B3A5C"/>
                <w:sz w:val="22"/>
                <w:szCs w:val="22"/>
              </w:rPr>
              <w:t xml:space="preserve">The Gap Is Widening</w:t>
            </w:r>
          </w:p>
          <w:p>
            <w:r>
              <w:t xml:space="preserve"/>
            </w:r>
          </w:p>
          <w:p>
            <w:pPr>
              <w:spacing w:before="0" w:after="0"/>
            </w:pPr>
            <w:r>
              <w:rPr>
                <w:rFonts w:ascii="Georgia" w:cs="Georgia" w:eastAsia="Georgia" w:hAnsi="Georgia"/>
                <w:color w:val="222222"/>
                <w:sz w:val="22"/>
                <w:szCs w:val="22"/>
              </w:rPr>
              <w:t xml:space="preserve">Level 3 and Level 4 businesses are growing at 2–4x the rate of Level 1 and Level 2 businesses. The investment required to move between levels is modest — but the compounding effect of digital infrastructure is significant.</w:t>
            </w:r>
          </w:p>
        </w:tc>
      </w:tr>
    </w:tbl>
    <w:p>
      <w:r>
        <w:t xml:space="preserve"/>
      </w:r>
    </w:p>
    <w:p>
      <w:pPr>
        <w:pStyle w:val="Heading2"/>
        <w:spacing w:before="280" w:after="120"/>
      </w:pPr>
      <w:r>
        <w:rPr>
          <w:rFonts w:ascii="Arial" w:cs="Arial" w:eastAsia="Arial" w:hAnsi="Arial"/>
          <w:b/>
          <w:bCs/>
          <w:color w:val="2E6DA4"/>
          <w:sz w:val="28"/>
          <w:szCs w:val="28"/>
        </w:rPr>
        <w:t xml:space="preserve">3.2  The Five Systems Every Gold Business Must Build</w:t>
      </w:r>
    </w:p>
    <w:p>
      <w:pPr>
        <w:spacing w:before="80" w:after="80"/>
        <w:jc w:val="left"/>
      </w:pPr>
      <w:r>
        <w:rPr>
          <w:rFonts w:ascii="Georgia" w:cs="Georgia" w:eastAsia="Georgia" w:hAnsi="Georgia"/>
          <w:b w:val="false"/>
          <w:bCs w:val="false"/>
          <w:i w:val="false"/>
          <w:iCs w:val="false"/>
          <w:color w:val="222222"/>
          <w:sz w:val="22"/>
          <w:szCs w:val="22"/>
        </w:rPr>
        <w:t xml:space="preserve">Across our analysis of the highest-performing businesses in the UK, USA, UAE, and India, five systems consistently differentiate winners from laggards:</w:t>
      </w:r>
    </w:p>
    <w:p>
      <w:r>
        <w:t xml:space="preserve"/>
      </w:r>
    </w:p>
    <w:p>
      <w:pPr>
        <w:pStyle w:val="Heading3"/>
        <w:spacing w:before="200" w:after="80"/>
      </w:pPr>
      <w:r>
        <w:rPr>
          <w:rFonts w:ascii="Arial" w:cs="Arial" w:eastAsia="Arial" w:hAnsi="Arial"/>
          <w:b/>
          <w:bCs/>
          <w:color w:val="B8860B"/>
          <w:sz w:val="24"/>
          <w:szCs w:val="24"/>
        </w:rPr>
        <w:t xml:space="preserve">System 1 — Local Visibility Engine</w:t>
      </w:r>
    </w:p>
    <w:p>
      <w:pPr>
        <w:spacing w:before="80" w:after="80"/>
        <w:jc w:val="left"/>
      </w:pPr>
      <w:r>
        <w:rPr>
          <w:rFonts w:ascii="Georgia" w:cs="Georgia" w:eastAsia="Georgia" w:hAnsi="Georgia"/>
          <w:b w:val="false"/>
          <w:bCs w:val="false"/>
          <w:i w:val="false"/>
          <w:iCs w:val="false"/>
          <w:color w:val="222222"/>
          <w:sz w:val="22"/>
          <w:szCs w:val="22"/>
        </w:rPr>
        <w:t xml:space="preserve">Optimised Google Business Profile, consistent citations, review generation system, local landing pages, Maps ranking. For multi-location businesses: branch-level local SEO strategy.</w:t>
      </w:r>
    </w:p>
    <w:p>
      <w:r>
        <w:t xml:space="preserve"/>
      </w:r>
    </w:p>
    <w:p>
      <w:pPr>
        <w:pStyle w:val="Heading3"/>
        <w:spacing w:before="200" w:after="80"/>
      </w:pPr>
      <w:r>
        <w:rPr>
          <w:rFonts w:ascii="Arial" w:cs="Arial" w:eastAsia="Arial" w:hAnsi="Arial"/>
          <w:b/>
          <w:bCs/>
          <w:color w:val="B8860B"/>
          <w:sz w:val="24"/>
          <w:szCs w:val="24"/>
        </w:rPr>
        <w:t xml:space="preserve">System 2 — Trust Infrastructure</w:t>
      </w:r>
    </w:p>
    <w:p>
      <w:pPr>
        <w:spacing w:before="80" w:after="80"/>
        <w:jc w:val="left"/>
      </w:pPr>
      <w:r>
        <w:rPr>
          <w:rFonts w:ascii="Georgia" w:cs="Georgia" w:eastAsia="Georgia" w:hAnsi="Georgia"/>
          <w:b w:val="false"/>
          <w:bCs w:val="false"/>
          <w:i w:val="false"/>
          <w:iCs w:val="false"/>
          <w:color w:val="222222"/>
          <w:sz w:val="22"/>
          <w:szCs w:val="22"/>
        </w:rPr>
        <w:t xml:space="preserve">Transparent valuation pages, pricing explainers, trust badges, customer testimonial video, accreditation display, and clear compliance messaging. This is not marketing — it is the foundation of conversion.</w:t>
      </w:r>
    </w:p>
    <w:p>
      <w:r>
        <w:t xml:space="preserve"/>
      </w:r>
    </w:p>
    <w:p>
      <w:pPr>
        <w:pStyle w:val="Heading3"/>
        <w:spacing w:before="200" w:after="80"/>
      </w:pPr>
      <w:r>
        <w:rPr>
          <w:rFonts w:ascii="Arial" w:cs="Arial" w:eastAsia="Arial" w:hAnsi="Arial"/>
          <w:b/>
          <w:bCs/>
          <w:color w:val="B8860B"/>
          <w:sz w:val="24"/>
          <w:szCs w:val="24"/>
        </w:rPr>
        <w:t xml:space="preserve">System 3 — Lead Capture &amp; CRM</w:t>
      </w:r>
    </w:p>
    <w:p>
      <w:pPr>
        <w:spacing w:before="80" w:after="80"/>
        <w:jc w:val="left"/>
      </w:pPr>
      <w:r>
        <w:rPr>
          <w:rFonts w:ascii="Georgia" w:cs="Georgia" w:eastAsia="Georgia" w:hAnsi="Georgia"/>
          <w:b w:val="false"/>
          <w:bCs w:val="false"/>
          <w:i w:val="false"/>
          <w:iCs w:val="false"/>
          <w:color w:val="222222"/>
          <w:sz w:val="22"/>
          <w:szCs w:val="22"/>
        </w:rPr>
        <w:t xml:space="preserve">Every visitor to the website should enter a lead capture system. Call tracking, web forms, WhatsApp integration, and CRM assignment. Most businesses lose 60–80% of potential leads because there is no system to capture and follow up.</w:t>
      </w:r>
    </w:p>
    <w:p>
      <w:r>
        <w:t xml:space="preserve"/>
      </w:r>
    </w:p>
    <w:p>
      <w:pPr>
        <w:pStyle w:val="Heading3"/>
        <w:spacing w:before="200" w:after="80"/>
      </w:pPr>
      <w:r>
        <w:rPr>
          <w:rFonts w:ascii="Arial" w:cs="Arial" w:eastAsia="Arial" w:hAnsi="Arial"/>
          <w:b/>
          <w:bCs/>
          <w:color w:val="B8860B"/>
          <w:sz w:val="24"/>
          <w:szCs w:val="24"/>
        </w:rPr>
        <w:t xml:space="preserve">System 4 — Automated Follow-Up</w:t>
      </w:r>
    </w:p>
    <w:p>
      <w:pPr>
        <w:spacing w:before="80" w:after="80"/>
        <w:jc w:val="left"/>
      </w:pPr>
      <w:r>
        <w:rPr>
          <w:rFonts w:ascii="Georgia" w:cs="Georgia" w:eastAsia="Georgia" w:hAnsi="Georgia"/>
          <w:b w:val="false"/>
          <w:bCs w:val="false"/>
          <w:i w:val="false"/>
          <w:iCs w:val="false"/>
          <w:color w:val="222222"/>
          <w:sz w:val="22"/>
          <w:szCs w:val="22"/>
        </w:rPr>
        <w:t xml:space="preserve">A structured follow-up sequence for every lead that does not convert immediately. SMS, email, and WhatsApp sequences that deliver value, build trust, and bring the customer back. This alone can recover 15–25% of otherwise lost leads.</w:t>
      </w:r>
    </w:p>
    <w:p>
      <w:r>
        <w:t xml:space="preserve"/>
      </w:r>
    </w:p>
    <w:p>
      <w:pPr>
        <w:pStyle w:val="Heading3"/>
        <w:spacing w:before="200" w:after="80"/>
      </w:pPr>
      <w:r>
        <w:rPr>
          <w:rFonts w:ascii="Arial" w:cs="Arial" w:eastAsia="Arial" w:hAnsi="Arial"/>
          <w:b/>
          <w:bCs/>
          <w:color w:val="B8860B"/>
          <w:sz w:val="24"/>
          <w:szCs w:val="24"/>
        </w:rPr>
        <w:t xml:space="preserve">System 5 — Performance Dashboard</w:t>
      </w:r>
    </w:p>
    <w:p>
      <w:pPr>
        <w:spacing w:before="80" w:after="80"/>
        <w:jc w:val="left"/>
      </w:pPr>
      <w:r>
        <w:rPr>
          <w:rFonts w:ascii="Georgia" w:cs="Georgia" w:eastAsia="Georgia" w:hAnsi="Georgia"/>
          <w:b w:val="false"/>
          <w:bCs w:val="false"/>
          <w:i w:val="false"/>
          <w:iCs w:val="false"/>
          <w:color w:val="222222"/>
          <w:sz w:val="22"/>
          <w:szCs w:val="22"/>
        </w:rPr>
        <w:t xml:space="preserve">A real-time view of leads, conversions, revenue by channel, and branch-level performance. Without measurement, optimisation is impossible. Most businesses have no dashboard and make decisions based on intuition.</w:t>
      </w:r>
    </w:p>
    <w:p>
      <w:r>
        <w:t xml:space="preserve"/>
      </w:r>
    </w:p>
    <w:p>
      <w:pPr>
        <w:pStyle w:val="Heading2"/>
        <w:spacing w:before="280" w:after="120"/>
      </w:pPr>
      <w:r>
        <w:rPr>
          <w:rFonts w:ascii="Arial" w:cs="Arial" w:eastAsia="Arial" w:hAnsi="Arial"/>
          <w:b/>
          <w:bCs/>
          <w:color w:val="2E6DA4"/>
          <w:sz w:val="28"/>
          <w:szCs w:val="28"/>
        </w:rPr>
        <w:t xml:space="preserve">3.3  AI and Automation in Precious Metals</w:t>
      </w:r>
    </w:p>
    <w:p>
      <w:pPr>
        <w:spacing w:before="80" w:after="80"/>
        <w:jc w:val="left"/>
      </w:pPr>
      <w:r>
        <w:rPr>
          <w:rFonts w:ascii="Georgia" w:cs="Georgia" w:eastAsia="Georgia" w:hAnsi="Georgia"/>
          <w:b w:val="false"/>
          <w:bCs w:val="false"/>
          <w:i w:val="false"/>
          <w:iCs w:val="false"/>
          <w:color w:val="222222"/>
          <w:sz w:val="22"/>
          <w:szCs w:val="22"/>
        </w:rPr>
        <w:t xml:space="preserve">AI and automation are moving from competitive advantage to competitive necessity across the industry. Current applications with proven ROI:</w:t>
      </w:r>
    </w:p>
    <w:p>
      <w:pPr>
        <w:pStyle w:val="ListParagraph"/>
        <w:numPr>
          <w:ilvl w:val="0"/>
          <w:numId w:val="2"/>
        </w:numPr>
        <w:spacing w:before="60" w:after="60"/>
      </w:pPr>
      <w:r>
        <w:rPr>
          <w:rFonts w:ascii="Georgia" w:cs="Georgia" w:eastAsia="Georgia" w:hAnsi="Georgia"/>
          <w:color w:val="222222"/>
          <w:sz w:val="22"/>
          <w:szCs w:val="22"/>
        </w:rPr>
        <w:t xml:space="preserve">Automated lead response: AI-driven instant response to enquiries reduces lead-to-contact time from hours to seconds</w:t>
      </w:r>
    </w:p>
    <w:p>
      <w:pPr>
        <w:pStyle w:val="ListParagraph"/>
        <w:numPr>
          <w:ilvl w:val="0"/>
          <w:numId w:val="2"/>
        </w:numPr>
        <w:spacing w:before="60" w:after="60"/>
      </w:pPr>
      <w:r>
        <w:rPr>
          <w:rFonts w:ascii="Georgia" w:cs="Georgia" w:eastAsia="Georgia" w:hAnsi="Georgia"/>
          <w:color w:val="222222"/>
          <w:sz w:val="22"/>
          <w:szCs w:val="22"/>
        </w:rPr>
        <w:t xml:space="preserve">Dynamic quote generation: Automated quote tools connected to live spot prices reduce manual quote handling by over 80%</w:t>
      </w:r>
    </w:p>
    <w:p>
      <w:pPr>
        <w:pStyle w:val="ListParagraph"/>
        <w:numPr>
          <w:ilvl w:val="0"/>
          <w:numId w:val="2"/>
        </w:numPr>
        <w:spacing w:before="60" w:after="60"/>
      </w:pPr>
      <w:r>
        <w:rPr>
          <w:rFonts w:ascii="Georgia" w:cs="Georgia" w:eastAsia="Georgia" w:hAnsi="Georgia"/>
          <w:color w:val="222222"/>
          <w:sz w:val="22"/>
          <w:szCs w:val="22"/>
        </w:rPr>
        <w:t xml:space="preserve">KYC document automation: OCR and workflow tools cut identity verification time from 30 minutes to under 5 minutes</w:t>
      </w:r>
    </w:p>
    <w:p>
      <w:pPr>
        <w:pStyle w:val="ListParagraph"/>
        <w:numPr>
          <w:ilvl w:val="0"/>
          <w:numId w:val="2"/>
        </w:numPr>
        <w:spacing w:before="60" w:after="60"/>
      </w:pPr>
      <w:r>
        <w:rPr>
          <w:rFonts w:ascii="Georgia" w:cs="Georgia" w:eastAsia="Georgia" w:hAnsi="Georgia"/>
          <w:color w:val="222222"/>
          <w:sz w:val="22"/>
          <w:szCs w:val="22"/>
        </w:rPr>
        <w:t xml:space="preserve">Compliance documentation: Automated AML record-keeping reduces compliance overhead and audit preparation time</w:t>
      </w:r>
    </w:p>
    <w:p>
      <w:pPr>
        <w:pStyle w:val="ListParagraph"/>
        <w:numPr>
          <w:ilvl w:val="0"/>
          <w:numId w:val="2"/>
        </w:numPr>
        <w:spacing w:before="60" w:after="60"/>
      </w:pPr>
      <w:r>
        <w:rPr>
          <w:rFonts w:ascii="Georgia" w:cs="Georgia" w:eastAsia="Georgia" w:hAnsi="Georgia"/>
          <w:color w:val="222222"/>
          <w:sz w:val="22"/>
          <w:szCs w:val="22"/>
        </w:rPr>
        <w:t xml:space="preserve">Predictive lead scoring: CRM systems that prioritise high-value leads for immediate human follow-up</w:t>
      </w:r>
    </w:p>
    <w:p>
      <w:r>
        <w:t xml:space="preserve"/>
      </w:r>
    </w:p>
    <w:p>
      <w:r>
        <w:t xml:space="preserve"/>
      </w:r>
    </w:p>
    <w:p>
      <w:r>
        <w:br w:type="page"/>
      </w:r>
    </w:p>
    <w:p>
      <w:pPr>
        <w:pStyle w:val="Heading1"/>
        <w:spacing w:before="400" w:after="160"/>
      </w:pPr>
      <w:r>
        <w:rPr>
          <w:rFonts w:ascii="Arial" w:cs="Arial" w:eastAsia="Arial" w:hAnsi="Arial"/>
          <w:b/>
          <w:bCs/>
          <w:color w:val="1B3A5C"/>
          <w:sz w:val="36"/>
          <w:szCs w:val="36"/>
        </w:rPr>
        <w:t xml:space="preserve">Section 4: Marketing Benchmarks &amp; Performance Standards</w:t>
      </w:r>
    </w:p>
    <w:p>
      <w:pPr>
        <w:pBdr>
          <w:bottom w:val="single" w:color="B8860B" w:sz="6" w:space="4"/>
        </w:pBdr>
        <w:spacing w:before="40" w:after="200"/>
      </w:pPr>
      <w:r>
        <w:t xml:space="preserve"/>
      </w:r>
    </w:p>
    <w:p>
      <w:pPr>
        <w:spacing w:before="80" w:after="80"/>
        <w:jc w:val="left"/>
      </w:pPr>
      <w:r>
        <w:rPr>
          <w:rFonts w:ascii="Georgia" w:cs="Georgia" w:eastAsia="Georgia" w:hAnsi="Georgia"/>
          <w:b w:val="false"/>
          <w:bCs w:val="false"/>
          <w:i w:val="false"/>
          <w:iCs w:val="false"/>
          <w:color w:val="222222"/>
          <w:sz w:val="22"/>
          <w:szCs w:val="22"/>
        </w:rPr>
        <w:t xml:space="preserve">The following benchmarks are drawn from industry analysis and represent performance standards for businesses operating in the UK, USA, UAE, and India markets.</w:t>
      </w:r>
    </w:p>
    <w:p>
      <w:r>
        <w:t xml:space="preserve"/>
      </w:r>
    </w:p>
    <w:p>
      <w:pPr>
        <w:pStyle w:val="Heading2"/>
        <w:spacing w:before="280" w:after="120"/>
      </w:pPr>
      <w:r>
        <w:rPr>
          <w:rFonts w:ascii="Arial" w:cs="Arial" w:eastAsia="Arial" w:hAnsi="Arial"/>
          <w:b/>
          <w:bCs/>
          <w:color w:val="2E6DA4"/>
          <w:sz w:val="28"/>
          <w:szCs w:val="28"/>
        </w:rPr>
        <w:t xml:space="preserve">4.1  Local SEO Benchmarks — Cash-for-Gold &amp; Bullion Retail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880"/>
        <w:gridCol w:w="3120"/>
      </w:tblGrid>
      <w:tr>
        <w:tc>
          <w:tcPr>
            <w:tcW w:type="dxa" w:w="336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Metric</w:t>
            </w:r>
          </w:p>
        </w:tc>
        <w:tc>
          <w:tcPr>
            <w:tcW w:type="dxa" w:w="288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Industry Average</w:t>
            </w:r>
          </w:p>
        </w:tc>
        <w:tc>
          <w:tcPr>
            <w:tcW w:type="dxa" w:w="312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Top Performer</w:t>
            </w:r>
          </w:p>
        </w:tc>
      </w:tr>
      <w:tr>
        <w:tc>
          <w:tcPr>
            <w:tcW w:type="dxa" w:w="33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Google Maps ranking (top 3)</w:t>
            </w:r>
          </w:p>
        </w:tc>
        <w:tc>
          <w:tcPr>
            <w:tcW w:type="dxa" w:w="28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Achieved by ~15% of businesses</w:t>
            </w:r>
          </w:p>
        </w:tc>
        <w:tc>
          <w:tcPr>
            <w:tcW w:type="dxa" w:w="31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Consistent top 3 position</w:t>
            </w:r>
          </w:p>
        </w:tc>
      </w:tr>
      <w:tr>
        <w:tc>
          <w:tcPr>
            <w:tcW w:type="dxa" w:w="33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Google Reviews count</w:t>
            </w:r>
          </w:p>
        </w:tc>
        <w:tc>
          <w:tcPr>
            <w:tcW w:type="dxa" w:w="28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12–25 reviews</w:t>
            </w:r>
          </w:p>
        </w:tc>
        <w:tc>
          <w:tcPr>
            <w:tcW w:type="dxa" w:w="31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150–400+ reviews</w:t>
            </w:r>
          </w:p>
        </w:tc>
      </w:tr>
      <w:tr>
        <w:tc>
          <w:tcPr>
            <w:tcW w:type="dxa" w:w="33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Average review rating</w:t>
            </w:r>
          </w:p>
        </w:tc>
        <w:tc>
          <w:tcPr>
            <w:tcW w:type="dxa" w:w="28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3.9 – 4.2 stars</w:t>
            </w:r>
          </w:p>
        </w:tc>
        <w:tc>
          <w:tcPr>
            <w:tcW w:type="dxa" w:w="31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4.6+ stars</w:t>
            </w:r>
          </w:p>
        </w:tc>
      </w:tr>
      <w:tr>
        <w:tc>
          <w:tcPr>
            <w:tcW w:type="dxa" w:w="33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Website conversion rate</w:t>
            </w:r>
          </w:p>
        </w:tc>
        <w:tc>
          <w:tcPr>
            <w:tcW w:type="dxa" w:w="28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1–3%</w:t>
            </w:r>
          </w:p>
        </w:tc>
        <w:tc>
          <w:tcPr>
            <w:tcW w:type="dxa" w:w="31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8–12%</w:t>
            </w:r>
          </w:p>
        </w:tc>
      </w:tr>
      <w:tr>
        <w:tc>
          <w:tcPr>
            <w:tcW w:type="dxa" w:w="33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Quote response time</w:t>
            </w:r>
          </w:p>
        </w:tc>
        <w:tc>
          <w:tcPr>
            <w:tcW w:type="dxa" w:w="28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2–8 hours (manual)</w:t>
            </w:r>
          </w:p>
        </w:tc>
        <w:tc>
          <w:tcPr>
            <w:tcW w:type="dxa" w:w="31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Under 5 minutes (automated)</w:t>
            </w:r>
          </w:p>
        </w:tc>
      </w:tr>
      <w:tr>
        <w:tc>
          <w:tcPr>
            <w:tcW w:type="dxa" w:w="33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Monthly qualified leads (web)</w:t>
            </w:r>
          </w:p>
        </w:tc>
        <w:tc>
          <w:tcPr>
            <w:tcW w:type="dxa" w:w="28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15–40</w:t>
            </w:r>
          </w:p>
        </w:tc>
        <w:tc>
          <w:tcPr>
            <w:tcW w:type="dxa" w:w="31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200–500+</w:t>
            </w:r>
          </w:p>
        </w:tc>
      </w:tr>
    </w:tbl>
    <w:p>
      <w:r>
        <w:t xml:space="preserve"/>
      </w:r>
    </w:p>
    <w:p>
      <w:pPr>
        <w:pStyle w:val="Heading2"/>
        <w:spacing w:before="280" w:after="120"/>
      </w:pPr>
      <w:r>
        <w:rPr>
          <w:rFonts w:ascii="Arial" w:cs="Arial" w:eastAsia="Arial" w:hAnsi="Arial"/>
          <w:b/>
          <w:bCs/>
          <w:color w:val="2E6DA4"/>
          <w:sz w:val="28"/>
          <w:szCs w:val="28"/>
        </w:rPr>
        <w:t xml:space="preserve">4.2  SEO &amp; Content Benchmarks — Bullion Dealers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880"/>
        <w:gridCol w:w="3120"/>
      </w:tblGrid>
      <w:tr>
        <w:tc>
          <w:tcPr>
            <w:tcW w:type="dxa" w:w="336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Metric</w:t>
            </w:r>
          </w:p>
        </w:tc>
        <w:tc>
          <w:tcPr>
            <w:tcW w:type="dxa" w:w="288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Typical Underperformer</w:t>
            </w:r>
          </w:p>
        </w:tc>
        <w:tc>
          <w:tcPr>
            <w:tcW w:type="dxa" w:w="312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Growth Leader</w:t>
            </w:r>
          </w:p>
        </w:tc>
      </w:tr>
      <w:tr>
        <w:tc>
          <w:tcPr>
            <w:tcW w:type="dxa" w:w="33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Monthly organic traffic</w:t>
            </w:r>
          </w:p>
        </w:tc>
        <w:tc>
          <w:tcPr>
            <w:tcW w:type="dxa" w:w="28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500–2,000 sessions</w:t>
            </w:r>
          </w:p>
        </w:tc>
        <w:tc>
          <w:tcPr>
            <w:tcW w:type="dxa" w:w="31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15,000–80,000+ sessions</w:t>
            </w:r>
          </w:p>
        </w:tc>
      </w:tr>
      <w:tr>
        <w:tc>
          <w:tcPr>
            <w:tcW w:type="dxa" w:w="33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Keywords ranking (page 1)</w:t>
            </w:r>
          </w:p>
        </w:tc>
        <w:tc>
          <w:tcPr>
            <w:tcW w:type="dxa" w:w="28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10–30</w:t>
            </w:r>
          </w:p>
        </w:tc>
        <w:tc>
          <w:tcPr>
            <w:tcW w:type="dxa" w:w="31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300–1,500+</w:t>
            </w:r>
          </w:p>
        </w:tc>
      </w:tr>
      <w:tr>
        <w:tc>
          <w:tcPr>
            <w:tcW w:type="dxa" w:w="33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Content publishing frequency</w:t>
            </w:r>
          </w:p>
        </w:tc>
        <w:tc>
          <w:tcPr>
            <w:tcW w:type="dxa" w:w="28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Rarely / never</w:t>
            </w:r>
          </w:p>
        </w:tc>
        <w:tc>
          <w:tcPr>
            <w:tcW w:type="dxa" w:w="31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2–4 pieces per month</w:t>
            </w:r>
          </w:p>
        </w:tc>
      </w:tr>
      <w:tr>
        <w:tc>
          <w:tcPr>
            <w:tcW w:type="dxa" w:w="33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Domain authority</w:t>
            </w:r>
          </w:p>
        </w:tc>
        <w:tc>
          <w:tcPr>
            <w:tcW w:type="dxa" w:w="28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10–25</w:t>
            </w:r>
          </w:p>
        </w:tc>
        <w:tc>
          <w:tcPr>
            <w:tcW w:type="dxa" w:w="31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40–65+</w:t>
            </w:r>
          </w:p>
        </w:tc>
      </w:tr>
      <w:tr>
        <w:tc>
          <w:tcPr>
            <w:tcW w:type="dxa" w:w="33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Abandoned cart rate</w:t>
            </w:r>
          </w:p>
        </w:tc>
        <w:tc>
          <w:tcPr>
            <w:tcW w:type="dxa" w:w="28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75–85%</w:t>
            </w:r>
          </w:p>
        </w:tc>
        <w:tc>
          <w:tcPr>
            <w:tcW w:type="dxa" w:w="31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50–60% (with automation)</w:t>
            </w:r>
          </w:p>
        </w:tc>
      </w:tr>
    </w:tbl>
    <w:p>
      <w:r>
        <w:t xml:space="preserve"/>
      </w:r>
    </w:p>
    <w:p>
      <w:pPr>
        <w:pStyle w:val="Heading2"/>
        <w:spacing w:before="280" w:after="120"/>
      </w:pPr>
      <w:r>
        <w:rPr>
          <w:rFonts w:ascii="Arial" w:cs="Arial" w:eastAsia="Arial" w:hAnsi="Arial"/>
          <w:b/>
          <w:bCs/>
          <w:color w:val="2E6DA4"/>
          <w:sz w:val="28"/>
          <w:szCs w:val="28"/>
        </w:rPr>
        <w:t xml:space="preserve">4.3  Operational Benchmarks — All Segments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1680"/>
        <w:gridCol w:w="1680"/>
        <w:gridCol w:w="3120"/>
      </w:tblGrid>
      <w:tr>
        <w:tc>
          <w:tcPr>
            <w:tcW w:type="dxa" w:w="288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KPI</w:t>
            </w:r>
          </w:p>
        </w:tc>
        <w:tc>
          <w:tcPr>
            <w:tcW w:type="dxa" w:w="168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Poor</w:t>
            </w:r>
          </w:p>
        </w:tc>
        <w:tc>
          <w:tcPr>
            <w:tcW w:type="dxa" w:w="168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Good</w:t>
            </w:r>
          </w:p>
        </w:tc>
        <w:tc>
          <w:tcPr>
            <w:tcW w:type="dxa" w:w="312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Best-in-Class</w:t>
            </w:r>
          </w:p>
        </w:tc>
      </w:tr>
      <w:tr>
        <w:tc>
          <w:tcPr>
            <w:tcW w:type="dxa" w:w="28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Lead response time</w:t>
            </w:r>
          </w:p>
        </w:tc>
        <w:tc>
          <w:tcPr>
            <w:tcW w:type="dxa" w:w="16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&gt; 4 hours</w:t>
            </w:r>
          </w:p>
        </w:tc>
        <w:tc>
          <w:tcPr>
            <w:tcW w:type="dxa" w:w="16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&lt; 1 hour</w:t>
            </w:r>
          </w:p>
        </w:tc>
        <w:tc>
          <w:tcPr>
            <w:tcW w:type="dxa" w:w="31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&lt; 5 minutes (automated)</w:t>
            </w:r>
          </w:p>
        </w:tc>
      </w:tr>
      <w:tr>
        <w:tc>
          <w:tcPr>
            <w:tcW w:type="dxa" w:w="28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Lead-to-quote conversion</w:t>
            </w:r>
          </w:p>
        </w:tc>
        <w:tc>
          <w:tcPr>
            <w:tcW w:type="dxa" w:w="16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&lt; 20%</w:t>
            </w:r>
          </w:p>
        </w:tc>
        <w:tc>
          <w:tcPr>
            <w:tcW w:type="dxa" w:w="16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35–50%</w:t>
            </w:r>
          </w:p>
        </w:tc>
        <w:tc>
          <w:tcPr>
            <w:tcW w:type="dxa" w:w="31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60–75%</w:t>
            </w:r>
          </w:p>
        </w:tc>
      </w:tr>
      <w:tr>
        <w:tc>
          <w:tcPr>
            <w:tcW w:type="dxa" w:w="28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Quote-to-sale conversion</w:t>
            </w:r>
          </w:p>
        </w:tc>
        <w:tc>
          <w:tcPr>
            <w:tcW w:type="dxa" w:w="16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&lt; 15%</w:t>
            </w:r>
          </w:p>
        </w:tc>
        <w:tc>
          <w:tcPr>
            <w:tcW w:type="dxa" w:w="16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25–40%</w:t>
            </w:r>
          </w:p>
        </w:tc>
        <w:tc>
          <w:tcPr>
            <w:tcW w:type="dxa" w:w="31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45–65%</w:t>
            </w:r>
          </w:p>
        </w:tc>
      </w:tr>
      <w:tr>
        <w:tc>
          <w:tcPr>
            <w:tcW w:type="dxa" w:w="28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Customer repeat rate</w:t>
            </w:r>
          </w:p>
        </w:tc>
        <w:tc>
          <w:tcPr>
            <w:tcW w:type="dxa" w:w="16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&lt; 5%</w:t>
            </w:r>
          </w:p>
        </w:tc>
        <w:tc>
          <w:tcPr>
            <w:tcW w:type="dxa" w:w="168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15–25%</w:t>
            </w:r>
          </w:p>
        </w:tc>
        <w:tc>
          <w:tcPr>
            <w:tcW w:type="dxa" w:w="31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35–50%</w:t>
            </w:r>
          </w:p>
        </w:tc>
      </w:tr>
      <w:tr>
        <w:tc>
          <w:tcPr>
            <w:tcW w:type="dxa" w:w="28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Cost per acquired customer</w:t>
            </w:r>
          </w:p>
        </w:tc>
        <w:tc>
          <w:tcPr>
            <w:tcW w:type="dxa" w:w="16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Unknown / untracked</w:t>
            </w:r>
          </w:p>
        </w:tc>
        <w:tc>
          <w:tcPr>
            <w:tcW w:type="dxa" w:w="168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£50–£150</w:t>
            </w:r>
          </w:p>
        </w:tc>
        <w:tc>
          <w:tcPr>
            <w:tcW w:type="dxa" w:w="31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£20–£60 (optimised)</w:t>
            </w:r>
          </w:p>
        </w:tc>
      </w:tr>
    </w:tbl>
    <w:p>
      <w:r>
        <w:t xml:space="preserve"/>
      </w:r>
    </w:p>
    <w:p>
      <w:r>
        <w:t xml:space="preserve"/>
      </w:r>
    </w:p>
    <w:p>
      <w:r>
        <w:br w:type="page"/>
      </w:r>
    </w:p>
    <w:p>
      <w:pPr>
        <w:pStyle w:val="Heading1"/>
        <w:spacing w:before="400" w:after="160"/>
      </w:pPr>
      <w:r>
        <w:rPr>
          <w:rFonts w:ascii="Arial" w:cs="Arial" w:eastAsia="Arial" w:hAnsi="Arial"/>
          <w:b/>
          <w:bCs/>
          <w:color w:val="1B3A5C"/>
          <w:sz w:val="36"/>
          <w:szCs w:val="36"/>
        </w:rPr>
        <w:t xml:space="preserve">Section 5: Market Intelligence by Geography</w:t>
      </w:r>
    </w:p>
    <w:p>
      <w:pPr>
        <w:pBdr>
          <w:bottom w:val="single" w:color="B8860B" w:sz="6" w:space="4"/>
        </w:pBdr>
        <w:spacing w:before="40" w:after="200"/>
      </w:pPr>
      <w:r>
        <w:t xml:space="preserve"/>
      </w:r>
    </w:p>
    <w:p>
      <w:pPr>
        <w:pStyle w:val="Heading2"/>
        <w:spacing w:before="280" w:after="120"/>
      </w:pPr>
      <w:r>
        <w:rPr>
          <w:rFonts w:ascii="Arial" w:cs="Arial" w:eastAsia="Arial" w:hAnsi="Arial"/>
          <w:b/>
          <w:bCs/>
          <w:color w:val="2E6DA4"/>
          <w:sz w:val="28"/>
          <w:szCs w:val="28"/>
        </w:rPr>
        <w:t xml:space="preserve">5.1  United Kingdom</w:t>
      </w:r>
    </w:p>
    <w:p>
      <w:pPr>
        <w:spacing w:before="80" w:after="80"/>
        <w:jc w:val="left"/>
      </w:pPr>
      <w:r>
        <w:rPr>
          <w:rFonts w:ascii="Georgia" w:cs="Georgia" w:eastAsia="Georgia" w:hAnsi="Georgia"/>
          <w:b w:val="false"/>
          <w:bCs w:val="false"/>
          <w:i w:val="false"/>
          <w:iCs w:val="false"/>
          <w:color w:val="222222"/>
          <w:sz w:val="22"/>
          <w:szCs w:val="22"/>
        </w:rPr>
        <w:t xml:space="preserve">The UK precious metals market operates under a mature regulatory framework with HMRC oversight, AML obligations, and the LBMA setting standards for institutional operations. The cash-for-gold segment is increasingly dominated by multi-location chains and mail-in services, while independent operators face growing pressure.</w:t>
      </w:r>
    </w:p>
    <w:p>
      <w:pPr>
        <w:pStyle w:val="ListParagraph"/>
        <w:numPr>
          <w:ilvl w:val="0"/>
          <w:numId w:val="2"/>
        </w:numPr>
        <w:spacing w:before="60" w:after="60"/>
      </w:pPr>
      <w:r>
        <w:rPr>
          <w:rFonts w:ascii="Georgia" w:cs="Georgia" w:eastAsia="Georgia" w:hAnsi="Georgia"/>
          <w:color w:val="222222"/>
          <w:sz w:val="22"/>
          <w:szCs w:val="22"/>
        </w:rPr>
        <w:t xml:space="preserve">London remains the dominant bullion trading hub globally via the LBMA</w:t>
      </w:r>
    </w:p>
    <w:p>
      <w:pPr>
        <w:pStyle w:val="ListParagraph"/>
        <w:numPr>
          <w:ilvl w:val="0"/>
          <w:numId w:val="2"/>
        </w:numPr>
        <w:spacing w:before="60" w:after="60"/>
      </w:pPr>
      <w:r>
        <w:rPr>
          <w:rFonts w:ascii="Georgia" w:cs="Georgia" w:eastAsia="Georgia" w:hAnsi="Georgia"/>
          <w:color w:val="222222"/>
          <w:sz w:val="22"/>
          <w:szCs w:val="22"/>
        </w:rPr>
        <w:t xml:space="preserve">The cash-for-gold market has consolidated significantly since 2012 — survivors are the digitally capable operators</w:t>
      </w:r>
    </w:p>
    <w:p>
      <w:pPr>
        <w:pStyle w:val="ListParagraph"/>
        <w:numPr>
          <w:ilvl w:val="0"/>
          <w:numId w:val="2"/>
        </w:numPr>
        <w:spacing w:before="60" w:after="60"/>
      </w:pPr>
      <w:r>
        <w:rPr>
          <w:rFonts w:ascii="Georgia" w:cs="Georgia" w:eastAsia="Georgia" w:hAnsi="Georgia"/>
          <w:color w:val="222222"/>
          <w:sz w:val="22"/>
          <w:szCs w:val="22"/>
        </w:rPr>
        <w:t xml:space="preserve">FCA-adjacent AML obligations apply to most precious metals dealers — compliance is both a cost and a trust signal</w:t>
      </w:r>
    </w:p>
    <w:p>
      <w:pPr>
        <w:pStyle w:val="ListParagraph"/>
        <w:numPr>
          <w:ilvl w:val="0"/>
          <w:numId w:val="2"/>
        </w:numPr>
        <w:spacing w:before="60" w:after="60"/>
      </w:pPr>
      <w:r>
        <w:rPr>
          <w:rFonts w:ascii="Georgia" w:cs="Georgia" w:eastAsia="Georgia" w:hAnsi="Georgia"/>
          <w:color w:val="222222"/>
          <w:sz w:val="22"/>
          <w:szCs w:val="22"/>
        </w:rPr>
        <w:t xml:space="preserve">Google Maps dominates local gold buyer discovery — businesses outside the top 3 positions capture less than 8% of clicks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2"/>
              <w:left w:val="thick" w:color="B8860B" w:sz="14"/>
              <w:bottom w:val="single" w:color="B8860B" w:sz="2"/>
              <w:right w:val="single" w:color="B8860B" w:sz="2"/>
            </w:tcBorders>
            <w:shd w:fill="F9F5EC" w:val="clear"/>
            <w:tcMar>
              <w:top w:type="dxa" w:w="140"/>
              <w:left w:type="dxa" w:w="200"/>
              <w:bottom w:type="dxa" w:w="140"/>
              <w:right w:type="dxa" w:w="160"/>
            </w:tcMar>
          </w:tcPr>
          <w:p>
            <w:r>
              <w:rPr>
                <w:rFonts w:ascii="Arial" w:cs="Arial" w:eastAsia="Arial" w:hAnsi="Arial"/>
                <w:b/>
                <w:bCs/>
                <w:color w:val="1B3A5C"/>
                <w:sz w:val="22"/>
                <w:szCs w:val="22"/>
              </w:rPr>
              <w:t xml:space="preserve">UK Growth Opportunity</w:t>
            </w:r>
          </w:p>
          <w:p>
            <w:r>
              <w:t xml:space="preserve"/>
            </w:r>
          </w:p>
          <w:p>
            <w:pPr>
              <w:spacing w:before="0" w:after="0"/>
            </w:pPr>
            <w:r>
              <w:rPr>
                <w:rFonts w:ascii="Georgia" w:cs="Georgia" w:eastAsia="Georgia" w:hAnsi="Georgia"/>
                <w:color w:val="222222"/>
                <w:sz w:val="22"/>
                <w:szCs w:val="22"/>
              </w:rPr>
              <w:t xml:space="preserve">Multi-location operators in the UK have the strongest immediate case for CRM, branch-level SEO, and review infrastructure. The gap between digitally sophisticated and unsophisticated businesses is widening fastest in the UK market.</w:t>
            </w:r>
          </w:p>
        </w:tc>
      </w:tr>
    </w:tbl>
    <w:p>
      <w:r>
        <w:t xml:space="preserve"/>
      </w:r>
    </w:p>
    <w:p>
      <w:pPr>
        <w:pStyle w:val="Heading2"/>
        <w:spacing w:before="280" w:after="120"/>
      </w:pPr>
      <w:r>
        <w:rPr>
          <w:rFonts w:ascii="Arial" w:cs="Arial" w:eastAsia="Arial" w:hAnsi="Arial"/>
          <w:b/>
          <w:bCs/>
          <w:color w:val="2E6DA4"/>
          <w:sz w:val="28"/>
          <w:szCs w:val="28"/>
        </w:rPr>
        <w:t xml:space="preserve">5.2  United States</w:t>
      </w:r>
    </w:p>
    <w:p>
      <w:pPr>
        <w:spacing w:before="80" w:after="80"/>
        <w:jc w:val="left"/>
      </w:pPr>
      <w:r>
        <w:rPr>
          <w:rFonts w:ascii="Georgia" w:cs="Georgia" w:eastAsia="Georgia" w:hAnsi="Georgia"/>
          <w:b w:val="false"/>
          <w:bCs w:val="false"/>
          <w:i w:val="false"/>
          <w:iCs w:val="false"/>
          <w:color w:val="222222"/>
          <w:sz w:val="22"/>
          <w:szCs w:val="22"/>
        </w:rPr>
        <w:t xml:space="preserve">The US precious metals market is the world's largest by bullion volume and the most competitive for online dealers. American consumers are highly price-sensitive, well-researched, and skeptical of gold buying businesses.</w:t>
      </w:r>
    </w:p>
    <w:p>
      <w:pPr>
        <w:pStyle w:val="ListParagraph"/>
        <w:numPr>
          <w:ilvl w:val="0"/>
          <w:numId w:val="2"/>
        </w:numPr>
        <w:spacing w:before="60" w:after="60"/>
      </w:pPr>
      <w:r>
        <w:rPr>
          <w:rFonts w:ascii="Georgia" w:cs="Georgia" w:eastAsia="Georgia" w:hAnsi="Georgia"/>
          <w:color w:val="222222"/>
          <w:sz w:val="22"/>
          <w:szCs w:val="22"/>
        </w:rPr>
        <w:t xml:space="preserve">Online bullion competition is intense — JM Bullion, APMEX, and Kitco dominate organic search</w:t>
      </w:r>
    </w:p>
    <w:p>
      <w:pPr>
        <w:pStyle w:val="ListParagraph"/>
        <w:numPr>
          <w:ilvl w:val="0"/>
          <w:numId w:val="2"/>
        </w:numPr>
        <w:spacing w:before="60" w:after="60"/>
      </w:pPr>
      <w:r>
        <w:rPr>
          <w:rFonts w:ascii="Georgia" w:cs="Georgia" w:eastAsia="Georgia" w:hAnsi="Georgia"/>
          <w:color w:val="222222"/>
          <w:sz w:val="22"/>
          <w:szCs w:val="22"/>
        </w:rPr>
        <w:t xml:space="preserve">Local cash-for-gold shops face growing competition from pawnbrokers and jewellery store buyback programmes</w:t>
      </w:r>
    </w:p>
    <w:p>
      <w:pPr>
        <w:pStyle w:val="ListParagraph"/>
        <w:numPr>
          <w:ilvl w:val="0"/>
          <w:numId w:val="2"/>
        </w:numPr>
        <w:spacing w:before="60" w:after="60"/>
      </w:pPr>
      <w:r>
        <w:rPr>
          <w:rFonts w:ascii="Georgia" w:cs="Georgia" w:eastAsia="Georgia" w:hAnsi="Georgia"/>
          <w:color w:val="222222"/>
          <w:sz w:val="22"/>
          <w:szCs w:val="22"/>
        </w:rPr>
        <w:t xml:space="preserve">Chargebacks and payment fraud are elevated — eCommerce bullion dealers lose an estimated 1–3% of revenue to fraud</w:t>
      </w:r>
    </w:p>
    <w:p>
      <w:pPr>
        <w:pStyle w:val="ListParagraph"/>
        <w:numPr>
          <w:ilvl w:val="0"/>
          <w:numId w:val="2"/>
        </w:numPr>
        <w:spacing w:before="60" w:after="60"/>
      </w:pPr>
      <w:r>
        <w:rPr>
          <w:rFonts w:ascii="Georgia" w:cs="Georgia" w:eastAsia="Georgia" w:hAnsi="Georgia"/>
          <w:color w:val="222222"/>
          <w:sz w:val="22"/>
          <w:szCs w:val="22"/>
        </w:rPr>
        <w:t xml:space="preserve">State-by-state licensing requirements create compliance complexity for multi-state operators</w:t>
      </w:r>
    </w:p>
    <w:p>
      <w:pPr>
        <w:pStyle w:val="ListParagraph"/>
        <w:numPr>
          <w:ilvl w:val="0"/>
          <w:numId w:val="2"/>
        </w:numPr>
        <w:spacing w:before="60" w:after="60"/>
      </w:pPr>
      <w:r>
        <w:rPr>
          <w:rFonts w:ascii="Georgia" w:cs="Georgia" w:eastAsia="Georgia" w:hAnsi="Georgia"/>
          <w:color w:val="222222"/>
          <w:sz w:val="22"/>
          <w:szCs w:val="22"/>
        </w:rPr>
        <w:t xml:space="preserve">Trust-based marketing (reviews, BBB accreditation, video content) is highly effective in the US market</w:t>
      </w:r>
    </w:p>
    <w:p>
      <w:r>
        <w:t xml:space="preserve"/>
      </w:r>
    </w:p>
    <w:p>
      <w:pPr>
        <w:pStyle w:val="Heading2"/>
        <w:spacing w:before="280" w:after="120"/>
      </w:pPr>
      <w:r>
        <w:rPr>
          <w:rFonts w:ascii="Arial" w:cs="Arial" w:eastAsia="Arial" w:hAnsi="Arial"/>
          <w:b/>
          <w:bCs/>
          <w:color w:val="2E6DA4"/>
          <w:sz w:val="28"/>
          <w:szCs w:val="28"/>
        </w:rPr>
        <w:t xml:space="preserve">5.3  UAE (Dubai)</w:t>
      </w:r>
    </w:p>
    <w:p>
      <w:pPr>
        <w:spacing w:before="80" w:after="80"/>
        <w:jc w:val="left"/>
      </w:pPr>
      <w:r>
        <w:rPr>
          <w:rFonts w:ascii="Georgia" w:cs="Georgia" w:eastAsia="Georgia" w:hAnsi="Georgia"/>
          <w:b w:val="false"/>
          <w:bCs w:val="false"/>
          <w:i w:val="false"/>
          <w:iCs w:val="false"/>
          <w:color w:val="222222"/>
          <w:sz w:val="22"/>
          <w:szCs w:val="22"/>
        </w:rPr>
        <w:t xml:space="preserve">Dubai is a global precious metals trading hub, home to the Dubai Gold Souk, the Dubai Multi Commodities Centre (DMCC), and a growing refinery sector. The market is characterised by high transaction values and a sophisticated B2B ecosystem.</w:t>
      </w:r>
    </w:p>
    <w:p>
      <w:pPr>
        <w:pStyle w:val="ListParagraph"/>
        <w:numPr>
          <w:ilvl w:val="0"/>
          <w:numId w:val="2"/>
        </w:numPr>
        <w:spacing w:before="60" w:after="60"/>
      </w:pPr>
      <w:r>
        <w:rPr>
          <w:rFonts w:ascii="Georgia" w:cs="Georgia" w:eastAsia="Georgia" w:hAnsi="Georgia"/>
          <w:color w:val="222222"/>
          <w:sz w:val="22"/>
          <w:szCs w:val="22"/>
        </w:rPr>
        <w:t xml:space="preserve">The DMCC's Dubai Good Delivery standard is a key accreditation for refiners operating in the region</w:t>
      </w:r>
    </w:p>
    <w:p>
      <w:pPr>
        <w:pStyle w:val="ListParagraph"/>
        <w:numPr>
          <w:ilvl w:val="0"/>
          <w:numId w:val="2"/>
        </w:numPr>
        <w:spacing w:before="60" w:after="60"/>
      </w:pPr>
      <w:r>
        <w:rPr>
          <w:rFonts w:ascii="Georgia" w:cs="Georgia" w:eastAsia="Georgia" w:hAnsi="Georgia"/>
          <w:color w:val="222222"/>
          <w:sz w:val="22"/>
          <w:szCs w:val="22"/>
        </w:rPr>
        <w:t xml:space="preserve">Gold trading is culturally embedded — retail demand is high and transaction values significantly exceed UK/US averages</w:t>
      </w:r>
    </w:p>
    <w:p>
      <w:pPr>
        <w:pStyle w:val="ListParagraph"/>
        <w:numPr>
          <w:ilvl w:val="0"/>
          <w:numId w:val="2"/>
        </w:numPr>
        <w:spacing w:before="60" w:after="60"/>
      </w:pPr>
      <w:r>
        <w:rPr>
          <w:rFonts w:ascii="Georgia" w:cs="Georgia" w:eastAsia="Georgia" w:hAnsi="Georgia"/>
          <w:color w:val="222222"/>
          <w:sz w:val="22"/>
          <w:szCs w:val="22"/>
        </w:rPr>
        <w:t xml:space="preserve">Compliance requirements are tightening, with FATF and DMCC driving anti-money-laundering frameworks</w:t>
      </w:r>
    </w:p>
    <w:p>
      <w:pPr>
        <w:pStyle w:val="ListParagraph"/>
        <w:numPr>
          <w:ilvl w:val="0"/>
          <w:numId w:val="2"/>
        </w:numPr>
        <w:spacing w:before="60" w:after="60"/>
      </w:pPr>
      <w:r>
        <w:rPr>
          <w:rFonts w:ascii="Georgia" w:cs="Georgia" w:eastAsia="Georgia" w:hAnsi="Georgia"/>
          <w:color w:val="222222"/>
          <w:sz w:val="22"/>
          <w:szCs w:val="22"/>
        </w:rPr>
        <w:t xml:space="preserve">B2B advisory, supplier onboarding systems, and traceability infrastructure are the highest-value opportunities</w:t>
      </w:r>
    </w:p>
    <w:p>
      <w:pPr>
        <w:pStyle w:val="ListParagraph"/>
        <w:numPr>
          <w:ilvl w:val="0"/>
          <w:numId w:val="2"/>
        </w:numPr>
        <w:spacing w:before="60" w:after="60"/>
      </w:pPr>
      <w:r>
        <w:rPr>
          <w:rFonts w:ascii="Georgia" w:cs="Georgia" w:eastAsia="Georgia" w:hAnsi="Georgia"/>
          <w:color w:val="222222"/>
          <w:sz w:val="22"/>
          <w:szCs w:val="22"/>
        </w:rPr>
        <w:t xml:space="preserve">English and Arabic digital content are both essential — bilingual SEO is underpenetrated</w:t>
      </w:r>
    </w:p>
    <w:p>
      <w:r>
        <w:t xml:space="preserve"/>
      </w:r>
    </w:p>
    <w:p>
      <w:pPr>
        <w:pStyle w:val="Heading2"/>
        <w:spacing w:before="280" w:after="120"/>
      </w:pPr>
      <w:r>
        <w:rPr>
          <w:rFonts w:ascii="Arial" w:cs="Arial" w:eastAsia="Arial" w:hAnsi="Arial"/>
          <w:b/>
          <w:bCs/>
          <w:color w:val="2E6DA4"/>
          <w:sz w:val="28"/>
          <w:szCs w:val="28"/>
        </w:rPr>
        <w:t xml:space="preserve">5.4  India</w:t>
      </w:r>
    </w:p>
    <w:p>
      <w:pPr>
        <w:spacing w:before="80" w:after="80"/>
        <w:jc w:val="left"/>
      </w:pPr>
      <w:r>
        <w:rPr>
          <w:rFonts w:ascii="Georgia" w:cs="Georgia" w:eastAsia="Georgia" w:hAnsi="Georgia"/>
          <w:b w:val="false"/>
          <w:bCs w:val="false"/>
          <w:i w:val="false"/>
          <w:iCs w:val="false"/>
          <w:color w:val="222222"/>
          <w:sz w:val="22"/>
          <w:szCs w:val="22"/>
        </w:rPr>
        <w:t xml:space="preserve">India is the world's largest gold jewellery consumer market, accounting for approximately 25% of global demand. Supply is dominated by imports (86%) with recycling (13%) and domestic mining (1%) contributing the remainder.</w:t>
      </w:r>
    </w:p>
    <w:p>
      <w:pPr>
        <w:pStyle w:val="ListParagraph"/>
        <w:numPr>
          <w:ilvl w:val="0"/>
          <w:numId w:val="2"/>
        </w:numPr>
        <w:spacing w:before="60" w:after="60"/>
      </w:pPr>
      <w:r>
        <w:rPr>
          <w:rFonts w:ascii="Georgia" w:cs="Georgia" w:eastAsia="Georgia" w:hAnsi="Georgia"/>
          <w:color w:val="222222"/>
          <w:sz w:val="22"/>
          <w:szCs w:val="22"/>
        </w:rPr>
        <w:t xml:space="preserve">Digital gold and gold loan platforms are rapidly growing — Paytm Gold, PhonePe Gold, and Rupeek have raised awareness of digital gold services</w:t>
      </w:r>
    </w:p>
    <w:p>
      <w:pPr>
        <w:pStyle w:val="ListParagraph"/>
        <w:numPr>
          <w:ilvl w:val="0"/>
          <w:numId w:val="2"/>
        </w:numPr>
        <w:spacing w:before="60" w:after="60"/>
      </w:pPr>
      <w:r>
        <w:rPr>
          <w:rFonts w:ascii="Georgia" w:cs="Georgia" w:eastAsia="Georgia" w:hAnsi="Georgia"/>
          <w:color w:val="222222"/>
          <w:sz w:val="22"/>
          <w:szCs w:val="22"/>
        </w:rPr>
        <w:t xml:space="preserve">Rural gold recycling and pawn ecosystems represent an underdigitised market with significant opportunity</w:t>
      </w:r>
    </w:p>
    <w:p>
      <w:pPr>
        <w:pStyle w:val="ListParagraph"/>
        <w:numPr>
          <w:ilvl w:val="0"/>
          <w:numId w:val="2"/>
        </w:numPr>
        <w:spacing w:before="60" w:after="60"/>
      </w:pPr>
      <w:r>
        <w:rPr>
          <w:rFonts w:ascii="Georgia" w:cs="Georgia" w:eastAsia="Georgia" w:hAnsi="Georgia"/>
          <w:color w:val="222222"/>
          <w:sz w:val="22"/>
          <w:szCs w:val="22"/>
        </w:rPr>
        <w:t xml:space="preserve">Mobile-first behaviour is critical — over 85% of gold-related searches in India are conducted on mobile devices</w:t>
      </w:r>
    </w:p>
    <w:p>
      <w:pPr>
        <w:pStyle w:val="ListParagraph"/>
        <w:numPr>
          <w:ilvl w:val="0"/>
          <w:numId w:val="2"/>
        </w:numPr>
        <w:spacing w:before="60" w:after="60"/>
      </w:pPr>
      <w:r>
        <w:rPr>
          <w:rFonts w:ascii="Georgia" w:cs="Georgia" w:eastAsia="Georgia" w:hAnsi="Georgia"/>
          <w:color w:val="222222"/>
          <w:sz w:val="22"/>
          <w:szCs w:val="22"/>
        </w:rPr>
        <w:t xml:space="preserve">Regional language content (Hindi, Tamil, Telugu, Malayalam) is underutilised but highly effective for local SEO</w:t>
      </w:r>
    </w:p>
    <w:p>
      <w:pPr>
        <w:pStyle w:val="ListParagraph"/>
        <w:numPr>
          <w:ilvl w:val="0"/>
          <w:numId w:val="2"/>
        </w:numPr>
        <w:spacing w:before="60" w:after="60"/>
      </w:pPr>
      <w:r>
        <w:rPr>
          <w:rFonts w:ascii="Georgia" w:cs="Georgia" w:eastAsia="Georgia" w:hAnsi="Georgia"/>
          <w:color w:val="222222"/>
          <w:sz w:val="22"/>
          <w:szCs w:val="22"/>
        </w:rPr>
        <w:t xml:space="preserve">GST and import duty structures create pricing complexity that businesses can use as educational content to build trust</w:t>
      </w:r>
    </w:p>
    <w:p>
      <w:r>
        <w:t xml:space="preserve"/>
      </w:r>
    </w:p>
    <w:p>
      <w:r>
        <w:t xml:space="preserve"/>
      </w:r>
    </w:p>
    <w:p>
      <w:r>
        <w:br w:type="page"/>
      </w:r>
    </w:p>
    <w:p>
      <w:pPr>
        <w:pStyle w:val="Heading1"/>
        <w:spacing w:before="400" w:after="160"/>
      </w:pPr>
      <w:r>
        <w:rPr>
          <w:rFonts w:ascii="Arial" w:cs="Arial" w:eastAsia="Arial" w:hAnsi="Arial"/>
          <w:b/>
          <w:bCs/>
          <w:color w:val="1B3A5C"/>
          <w:sz w:val="36"/>
          <w:szCs w:val="36"/>
        </w:rPr>
        <w:t xml:space="preserve">Section 6: Growth Playbooks by Business Type</w:t>
      </w:r>
    </w:p>
    <w:p>
      <w:pPr>
        <w:pBdr>
          <w:bottom w:val="single" w:color="B8860B" w:sz="6" w:space="4"/>
        </w:pBdr>
        <w:spacing w:before="40" w:after="200"/>
      </w:pPr>
      <w:r>
        <w:t xml:space="preserve"/>
      </w:r>
    </w:p>
    <w:p>
      <w:pPr>
        <w:pStyle w:val="Heading2"/>
        <w:spacing w:before="280" w:after="120"/>
      </w:pPr>
      <w:r>
        <w:rPr>
          <w:rFonts w:ascii="Arial" w:cs="Arial" w:eastAsia="Arial" w:hAnsi="Arial"/>
          <w:b/>
          <w:bCs/>
          <w:color w:val="2E6DA4"/>
          <w:sz w:val="28"/>
          <w:szCs w:val="28"/>
        </w:rPr>
        <w:t xml:space="preserve">6.1  Cash-for-Gold &amp; Gold Buying Businesses</w:t>
      </w:r>
    </w:p>
    <w:p>
      <w:pPr>
        <w:spacing w:before="80" w:after="80"/>
        <w:jc w:val="left"/>
      </w:pPr>
      <w:r>
        <w:rPr>
          <w:rFonts w:ascii="Georgia" w:cs="Georgia" w:eastAsia="Georgia" w:hAnsi="Georgia"/>
          <w:b w:val="false"/>
          <w:bCs w:val="false"/>
          <w:i w:val="false"/>
          <w:iCs w:val="false"/>
          <w:color w:val="222222"/>
          <w:sz w:val="22"/>
          <w:szCs w:val="22"/>
        </w:rPr>
        <w:t xml:space="preserve">The fastest path to measurable revenue growth for a cash-for-gold business follows a four-stage playbook:</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4320"/>
        <w:gridCol w:w="3600"/>
      </w:tblGrid>
      <w:tr>
        <w:tc>
          <w:tcPr>
            <w:tcW w:type="dxa" w:w="144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Stage</w:t>
            </w:r>
          </w:p>
        </w:tc>
        <w:tc>
          <w:tcPr>
            <w:tcW w:type="dxa" w:w="432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Priority Actions</w:t>
            </w:r>
          </w:p>
        </w:tc>
        <w:tc>
          <w:tcPr>
            <w:tcW w:type="dxa" w:w="360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Expected Outcome</w:t>
            </w:r>
          </w:p>
        </w:tc>
      </w:tr>
      <w:tr>
        <w:tc>
          <w:tcPr>
            <w:tcW w:type="dxa" w:w="144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Stage 1: Visibility</w:t>
            </w:r>
          </w:p>
        </w:tc>
        <w:tc>
          <w:tcPr>
            <w:tcW w:type="dxa" w:w="43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Optimise Google Business Profile · Build review generation system · Fix local landing pages</w:t>
            </w:r>
          </w:p>
        </w:tc>
        <w:tc>
          <w:tcPr>
            <w:tcW w:type="dxa" w:w="36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30–60% increase in enquiry volume within 90 days</w:t>
            </w:r>
          </w:p>
        </w:tc>
      </w:tr>
      <w:tr>
        <w:tc>
          <w:tcPr>
            <w:tcW w:type="dxa" w:w="144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Stage 2: Conversion</w:t>
            </w:r>
          </w:p>
        </w:tc>
        <w:tc>
          <w:tcPr>
            <w:tcW w:type="dxa" w:w="43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Add trust signals to website · Implement live chat / WhatsApp · Reduce quote response time to &lt;5 min</w:t>
            </w:r>
          </w:p>
        </w:tc>
        <w:tc>
          <w:tcPr>
            <w:tcW w:type="dxa" w:w="36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25–40% improvement in quote-to-sale rate</w:t>
            </w:r>
          </w:p>
        </w:tc>
      </w:tr>
      <w:tr>
        <w:tc>
          <w:tcPr>
            <w:tcW w:type="dxa" w:w="144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Stage 3: Retention</w:t>
            </w:r>
          </w:p>
        </w:tc>
        <w:tc>
          <w:tcPr>
            <w:tcW w:type="dxa" w:w="432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Set up CRM · Build follow-up automation · Launch post-sale referral programme</w:t>
            </w:r>
          </w:p>
        </w:tc>
        <w:tc>
          <w:tcPr>
            <w:tcW w:type="dxa" w:w="36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15–30% increase in repeat transactions</w:t>
            </w:r>
          </w:p>
        </w:tc>
      </w:tr>
      <w:tr>
        <w:tc>
          <w:tcPr>
            <w:tcW w:type="dxa" w:w="144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Stage 4: Scale</w:t>
            </w:r>
          </w:p>
        </w:tc>
        <w:tc>
          <w:tcPr>
            <w:tcW w:type="dxa" w:w="432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Branch-level dashboards · Multi-location SEO · Centralise KPI reporting</w:t>
            </w:r>
          </w:p>
        </w:tc>
        <w:tc>
          <w:tcPr>
            <w:tcW w:type="dxa" w:w="36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Informed expansion and franchise-ready operations</w:t>
            </w:r>
          </w:p>
        </w:tc>
      </w:tr>
    </w:tbl>
    <w:p>
      <w:r>
        <w:t xml:space="preserve"/>
      </w:r>
    </w:p>
    <w:p>
      <w:pPr>
        <w:pStyle w:val="Heading2"/>
        <w:spacing w:before="280" w:after="120"/>
      </w:pPr>
      <w:r>
        <w:rPr>
          <w:rFonts w:ascii="Arial" w:cs="Arial" w:eastAsia="Arial" w:hAnsi="Arial"/>
          <w:b/>
          <w:bCs/>
          <w:color w:val="2E6DA4"/>
          <w:sz w:val="28"/>
          <w:szCs w:val="28"/>
        </w:rPr>
        <w:t xml:space="preserve">6.2  Online Bullion Dealers</w:t>
      </w:r>
    </w:p>
    <w:p>
      <w:pPr>
        <w:spacing w:before="80" w:after="80"/>
        <w:jc w:val="left"/>
      </w:pPr>
      <w:r>
        <w:rPr>
          <w:rFonts w:ascii="Georgia" w:cs="Georgia" w:eastAsia="Georgia" w:hAnsi="Georgia"/>
          <w:b w:val="false"/>
          <w:bCs w:val="false"/>
          <w:i w:val="false"/>
          <w:iCs w:val="false"/>
          <w:color w:val="222222"/>
          <w:sz w:val="22"/>
          <w:szCs w:val="22"/>
        </w:rPr>
        <w:t xml:space="preserve">Bullion dealers face a more complex digital challenge — competing in a market where price transparency is total and trust is earned through brand authority rather than local presence.</w:t>
      </w:r>
    </w:p>
    <w:p>
      <w:r>
        <w:t xml:space="preserve"/>
      </w:r>
    </w:p>
    <w:p>
      <w:pPr>
        <w:pStyle w:val="ListParagraph"/>
        <w:numPr>
          <w:ilvl w:val="0"/>
          <w:numId w:val="2"/>
        </w:numPr>
        <w:spacing w:before="60" w:after="60"/>
      </w:pPr>
      <w:r>
        <w:rPr>
          <w:rFonts w:ascii="Georgia" w:cs="Georgia" w:eastAsia="Georgia" w:hAnsi="Georgia"/>
          <w:color w:val="222222"/>
          <w:sz w:val="22"/>
          <w:szCs w:val="22"/>
        </w:rPr>
        <w:t xml:space="preserve">Authority content — in-depth educational guides, buyer's guides, market commentary — builds domain authority and organic traffic</w:t>
      </w:r>
    </w:p>
    <w:p>
      <w:pPr>
        <w:pStyle w:val="ListParagraph"/>
        <w:numPr>
          <w:ilvl w:val="0"/>
          <w:numId w:val="2"/>
        </w:numPr>
        <w:spacing w:before="60" w:after="60"/>
      </w:pPr>
      <w:r>
        <w:rPr>
          <w:rFonts w:ascii="Georgia" w:cs="Georgia" w:eastAsia="Georgia" w:hAnsi="Georgia"/>
          <w:color w:val="222222"/>
          <w:sz w:val="22"/>
          <w:szCs w:val="22"/>
        </w:rPr>
        <w:t xml:space="preserve">Abandoned cart automation recovers 10–20% of lost revenue with the right email/SMS sequence</w:t>
      </w:r>
    </w:p>
    <w:p>
      <w:pPr>
        <w:pStyle w:val="ListParagraph"/>
        <w:numPr>
          <w:ilvl w:val="0"/>
          <w:numId w:val="2"/>
        </w:numPr>
        <w:spacing w:before="60" w:after="60"/>
      </w:pPr>
      <w:r>
        <w:rPr>
          <w:rFonts w:ascii="Georgia" w:cs="Georgia" w:eastAsia="Georgia" w:hAnsi="Georgia"/>
          <w:color w:val="222222"/>
          <w:sz w:val="22"/>
          <w:szCs w:val="22"/>
        </w:rPr>
        <w:t xml:space="preserve">Fraud prevention workflow reduces chargebacks and protects margin</w:t>
      </w:r>
    </w:p>
    <w:p>
      <w:pPr>
        <w:pStyle w:val="ListParagraph"/>
        <w:numPr>
          <w:ilvl w:val="0"/>
          <w:numId w:val="2"/>
        </w:numPr>
        <w:spacing w:before="60" w:after="60"/>
      </w:pPr>
      <w:r>
        <w:rPr>
          <w:rFonts w:ascii="Georgia" w:cs="Georgia" w:eastAsia="Georgia" w:hAnsi="Georgia"/>
          <w:color w:val="222222"/>
          <w:sz w:val="22"/>
          <w:szCs w:val="22"/>
        </w:rPr>
        <w:t xml:space="preserve">Lifecycle email marketing drives repeat purchases — existing customers are 5x cheaper to convert than new customers</w:t>
      </w:r>
    </w:p>
    <w:p>
      <w:pPr>
        <w:pStyle w:val="ListParagraph"/>
        <w:numPr>
          <w:ilvl w:val="0"/>
          <w:numId w:val="2"/>
        </w:numPr>
        <w:spacing w:before="60" w:after="60"/>
      </w:pPr>
      <w:r>
        <w:rPr>
          <w:rFonts w:ascii="Georgia" w:cs="Georgia" w:eastAsia="Georgia" w:hAnsi="Georgia"/>
          <w:color w:val="222222"/>
          <w:sz w:val="22"/>
          <w:szCs w:val="22"/>
        </w:rPr>
        <w:t xml:space="preserve">Trust signals: BBB rating (US), Trustpilot reviews, Feefo, secure checkout indicators all materially improve conversion</w:t>
      </w:r>
    </w:p>
    <w:p>
      <w:r>
        <w:t xml:space="preserve"/>
      </w:r>
    </w:p>
    <w:p>
      <w:pPr>
        <w:pStyle w:val="Heading2"/>
        <w:spacing w:before="280" w:after="120"/>
      </w:pPr>
      <w:r>
        <w:rPr>
          <w:rFonts w:ascii="Arial" w:cs="Arial" w:eastAsia="Arial" w:hAnsi="Arial"/>
          <w:b/>
          <w:bCs/>
          <w:color w:val="2E6DA4"/>
          <w:sz w:val="28"/>
          <w:szCs w:val="28"/>
        </w:rPr>
        <w:t xml:space="preserve">6.3  Precious Metal Refiners</w:t>
      </w:r>
    </w:p>
    <w:p>
      <w:pPr>
        <w:spacing w:before="80" w:after="80"/>
        <w:jc w:val="left"/>
      </w:pPr>
      <w:r>
        <w:rPr>
          <w:rFonts w:ascii="Georgia" w:cs="Georgia" w:eastAsia="Georgia" w:hAnsi="Georgia"/>
          <w:b w:val="false"/>
          <w:bCs w:val="false"/>
          <w:i w:val="false"/>
          <w:iCs w:val="false"/>
          <w:color w:val="222222"/>
          <w:sz w:val="22"/>
          <w:szCs w:val="22"/>
        </w:rPr>
        <w:t xml:space="preserve">Refiner growth opportunities are increasingly driven by compliance, traceability, and operational efficiency rather than pure marketing. The LBMA's accelerating transparency requirements and responsible sourcing standards are reshaping what refiners must invest in.</w:t>
      </w:r>
    </w:p>
    <w:p>
      <w:r>
        <w:t xml:space="preserve"/>
      </w:r>
    </w:p>
    <w:p>
      <w:pPr>
        <w:pStyle w:val="ListParagraph"/>
        <w:numPr>
          <w:ilvl w:val="0"/>
          <w:numId w:val="2"/>
        </w:numPr>
        <w:spacing w:before="60" w:after="60"/>
      </w:pPr>
      <w:r>
        <w:rPr>
          <w:rFonts w:ascii="Georgia" w:cs="Georgia" w:eastAsia="Georgia" w:hAnsi="Georgia"/>
          <w:color w:val="222222"/>
          <w:sz w:val="22"/>
          <w:szCs w:val="22"/>
        </w:rPr>
        <w:t xml:space="preserve">Supplier onboarding automation reduces compliance risk and shortens the feedstock sourcing cycle</w:t>
      </w:r>
    </w:p>
    <w:p>
      <w:pPr>
        <w:pStyle w:val="ListParagraph"/>
        <w:numPr>
          <w:ilvl w:val="0"/>
          <w:numId w:val="2"/>
        </w:numPr>
        <w:spacing w:before="60" w:after="60"/>
      </w:pPr>
      <w:r>
        <w:rPr>
          <w:rFonts w:ascii="Georgia" w:cs="Georgia" w:eastAsia="Georgia" w:hAnsi="Georgia"/>
          <w:color w:val="222222"/>
          <w:sz w:val="22"/>
          <w:szCs w:val="22"/>
        </w:rPr>
        <w:t xml:space="preserve">Traceability systems are increasingly required by institutional buyers — refiners without them lose access to premium markets</w:t>
      </w:r>
    </w:p>
    <w:p>
      <w:pPr>
        <w:pStyle w:val="ListParagraph"/>
        <w:numPr>
          <w:ilvl w:val="0"/>
          <w:numId w:val="2"/>
        </w:numPr>
        <w:spacing w:before="60" w:after="60"/>
      </w:pPr>
      <w:r>
        <w:rPr>
          <w:rFonts w:ascii="Georgia" w:cs="Georgia" w:eastAsia="Georgia" w:hAnsi="Georgia"/>
          <w:color w:val="222222"/>
          <w:sz w:val="22"/>
          <w:szCs w:val="22"/>
        </w:rPr>
        <w:t xml:space="preserve">Digital transformation roadmaps for refiners typically cover: ERP integration, compliance documentation, client-facing reporting portals, and process automation</w:t>
      </w:r>
    </w:p>
    <w:p>
      <w:pPr>
        <w:pStyle w:val="ListParagraph"/>
        <w:numPr>
          <w:ilvl w:val="0"/>
          <w:numId w:val="2"/>
        </w:numPr>
        <w:spacing w:before="60" w:after="60"/>
      </w:pPr>
      <w:r>
        <w:rPr>
          <w:rFonts w:ascii="Georgia" w:cs="Georgia" w:eastAsia="Georgia" w:hAnsi="Georgia"/>
          <w:color w:val="222222"/>
          <w:sz w:val="22"/>
          <w:szCs w:val="22"/>
        </w:rPr>
        <w:t xml:space="preserve">LBMA currently lists 66 gold and 84 silver refiners on its Good Delivery lists — accreditation and the systems to maintain it are a commercial asset</w:t>
      </w:r>
    </w:p>
    <w:p>
      <w:r>
        <w:t xml:space="preserve"/>
      </w:r>
    </w:p>
    <w:p>
      <w:r>
        <w:t xml:space="preserve"/>
      </w:r>
    </w:p>
    <w:p>
      <w:r>
        <w:br w:type="page"/>
      </w:r>
    </w:p>
    <w:p>
      <w:pPr>
        <w:pStyle w:val="Heading1"/>
        <w:spacing w:before="400" w:after="160"/>
      </w:pPr>
      <w:r>
        <w:rPr>
          <w:rFonts w:ascii="Arial" w:cs="Arial" w:eastAsia="Arial" w:hAnsi="Arial"/>
          <w:b/>
          <w:bCs/>
          <w:color w:val="1B3A5C"/>
          <w:sz w:val="36"/>
          <w:szCs w:val="36"/>
        </w:rPr>
        <w:t xml:space="preserve">Section 7: Industry Outlook 2026 and Beyond</w:t>
      </w:r>
    </w:p>
    <w:p>
      <w:pPr>
        <w:pBdr>
          <w:bottom w:val="single" w:color="B8860B" w:sz="6" w:space="4"/>
        </w:pBdr>
        <w:spacing w:before="40" w:after="200"/>
      </w:pPr>
      <w:r>
        <w:t xml:space="preserve"/>
      </w:r>
    </w:p>
    <w:p>
      <w:pPr>
        <w:pStyle w:val="Heading2"/>
        <w:spacing w:before="280" w:after="120"/>
      </w:pPr>
      <w:r>
        <w:rPr>
          <w:rFonts w:ascii="Arial" w:cs="Arial" w:eastAsia="Arial" w:hAnsi="Arial"/>
          <w:b/>
          <w:bCs/>
          <w:color w:val="2E6DA4"/>
          <w:sz w:val="28"/>
          <w:szCs w:val="28"/>
        </w:rPr>
        <w:t xml:space="preserve">7.1  Three Forces Shaping the Industry</w:t>
      </w:r>
    </w:p>
    <w:p>
      <w:r>
        <w:t xml:space="preserve"/>
      </w:r>
    </w:p>
    <w:p>
      <w:pPr>
        <w:pStyle w:val="Heading3"/>
        <w:spacing w:before="200" w:after="80"/>
      </w:pPr>
      <w:r>
        <w:rPr>
          <w:rFonts w:ascii="Arial" w:cs="Arial" w:eastAsia="Arial" w:hAnsi="Arial"/>
          <w:b/>
          <w:bCs/>
          <w:color w:val="B8860B"/>
          <w:sz w:val="24"/>
          <w:szCs w:val="24"/>
        </w:rPr>
        <w:t xml:space="preserve">Force 1 — Sustained High Gold Prices Create a Two-Speed Market</w:t>
      </w:r>
    </w:p>
    <w:p>
      <w:pPr>
        <w:spacing w:before="80" w:after="80"/>
        <w:jc w:val="left"/>
      </w:pPr>
      <w:r>
        <w:rPr>
          <w:rFonts w:ascii="Georgia" w:cs="Georgia" w:eastAsia="Georgia" w:hAnsi="Georgia"/>
          <w:b w:val="false"/>
          <w:bCs w:val="false"/>
          <w:i w:val="false"/>
          <w:iCs w:val="false"/>
          <w:color w:val="222222"/>
          <w:sz w:val="22"/>
          <w:szCs w:val="22"/>
        </w:rPr>
        <w:t xml:space="preserve">Record gold prices are expected to persist through 2026 driven by geopolitical uncertainty, dollar weakness, and continued central bank buying. This creates a two-speed market: businesses with strong digital presence and operational efficiency will capture outsized demand. Those without will find higher prices translate to higher customer expectations and thinner margins.</w:t>
      </w:r>
    </w:p>
    <w:p>
      <w:r>
        <w:t xml:space="preserve"/>
      </w:r>
    </w:p>
    <w:p>
      <w:pPr>
        <w:pStyle w:val="Heading3"/>
        <w:spacing w:before="200" w:after="80"/>
      </w:pPr>
      <w:r>
        <w:rPr>
          <w:rFonts w:ascii="Arial" w:cs="Arial" w:eastAsia="Arial" w:hAnsi="Arial"/>
          <w:b/>
          <w:bCs/>
          <w:color w:val="B8860B"/>
          <w:sz w:val="24"/>
          <w:szCs w:val="24"/>
        </w:rPr>
        <w:t xml:space="preserve">Force 2 — Compliance and Traceability Become Commercial Requirements</w:t>
      </w:r>
    </w:p>
    <w:p>
      <w:pPr>
        <w:spacing w:before="80" w:after="80"/>
        <w:jc w:val="left"/>
      </w:pPr>
      <w:r>
        <w:rPr>
          <w:rFonts w:ascii="Georgia" w:cs="Georgia" w:eastAsia="Georgia" w:hAnsi="Georgia"/>
          <w:b w:val="false"/>
          <w:bCs w:val="false"/>
          <w:i w:val="false"/>
          <w:iCs w:val="false"/>
          <w:color w:val="222222"/>
          <w:sz w:val="22"/>
          <w:szCs w:val="22"/>
        </w:rPr>
        <w:t xml:space="preserve">LBMA transparency requirements, FATF recommendations, and regional AML frameworks are tightening across all four of our priority markets. Compliance is no longer just a cost — it is a commercial differentiator. Refiners, dealers, and aggregators with robust systems will win institutional and wholesale relationships that lower-compliance competitors cannot access.</w:t>
      </w:r>
    </w:p>
    <w:p>
      <w:r>
        <w:t xml:space="preserve"/>
      </w:r>
    </w:p>
    <w:p>
      <w:pPr>
        <w:pStyle w:val="Heading3"/>
        <w:spacing w:before="200" w:after="80"/>
      </w:pPr>
      <w:r>
        <w:rPr>
          <w:rFonts w:ascii="Arial" w:cs="Arial" w:eastAsia="Arial" w:hAnsi="Arial"/>
          <w:b/>
          <w:bCs/>
          <w:color w:val="B8860B"/>
          <w:sz w:val="24"/>
          <w:szCs w:val="24"/>
        </w:rPr>
        <w:t xml:space="preserve">Force 3 — Digital-First Customers Across All Markets</w:t>
      </w:r>
    </w:p>
    <w:p>
      <w:pPr>
        <w:spacing w:before="80" w:after="80"/>
        <w:jc w:val="left"/>
      </w:pPr>
      <w:r>
        <w:rPr>
          <w:rFonts w:ascii="Georgia" w:cs="Georgia" w:eastAsia="Georgia" w:hAnsi="Georgia"/>
          <w:b w:val="false"/>
          <w:bCs w:val="false"/>
          <w:i w:val="false"/>
          <w:iCs w:val="false"/>
          <w:color w:val="222222"/>
          <w:sz w:val="22"/>
          <w:szCs w:val="22"/>
        </w:rPr>
        <w:t xml:space="preserve">In all four markets, gold buyers and sellers now begin their journey online. The decision of which business to engage with is made before the first phone call. Businesses that control search visibility, own trust signals, and respond instantly to digital leads will structurally outperform those that do not.</w:t>
      </w:r>
    </w:p>
    <w:p>
      <w:r>
        <w:t xml:space="preserve"/>
      </w:r>
    </w:p>
    <w:p>
      <w:pPr>
        <w:pStyle w:val="Heading2"/>
        <w:spacing w:before="280" w:after="120"/>
      </w:pPr>
      <w:r>
        <w:rPr>
          <w:rFonts w:ascii="Arial" w:cs="Arial" w:eastAsia="Arial" w:hAnsi="Arial"/>
          <w:b/>
          <w:bCs/>
          <w:color w:val="2E6DA4"/>
          <w:sz w:val="28"/>
          <w:szCs w:val="28"/>
        </w:rPr>
        <w:t xml:space="preserve">7.2  The 2026 Opportunity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360"/>
      </w:tblGrid>
      <w:tr>
        <w:tc>
          <w:tcPr>
            <w:tcW w:type="dxa" w:w="240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Segment</w:t>
            </w:r>
          </w:p>
        </w:tc>
        <w:tc>
          <w:tcPr>
            <w:tcW w:type="dxa" w:w="360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Top Opportunity</w:t>
            </w:r>
          </w:p>
        </w:tc>
        <w:tc>
          <w:tcPr>
            <w:tcW w:type="dxa" w:w="336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Risk if Not Acted Upon</w:t>
            </w:r>
          </w:p>
        </w:tc>
      </w:tr>
      <w:tr>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Cash-for-Gold (UK/USA/India)</w:t>
            </w:r>
          </w:p>
        </w:tc>
        <w:tc>
          <w:tcPr>
            <w:tcW w:type="dxa" w:w="36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Local SEO + trust infrastructure + CRM automation</w:t>
            </w:r>
          </w:p>
        </w:tc>
        <w:tc>
          <w:tcPr>
            <w:tcW w:type="dxa" w:w="33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Consolidation by chain operators with better digital presence</w:t>
            </w:r>
          </w:p>
        </w:tc>
      </w:tr>
      <w:tr>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Online Bullion (USA/UK)</w:t>
            </w:r>
          </w:p>
        </w:tc>
        <w:tc>
          <w:tcPr>
            <w:tcW w:type="dxa" w:w="36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Authority content + conversion optimisation + lifecycle automation</w:t>
            </w:r>
          </w:p>
        </w:tc>
        <w:tc>
          <w:tcPr>
            <w:tcW w:type="dxa" w:w="33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Loss of market share to better-optimised competitors</w:t>
            </w:r>
          </w:p>
        </w:tc>
      </w:tr>
      <w:tr>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Refiners (UAE/UK/India)</w:t>
            </w:r>
          </w:p>
        </w:tc>
        <w:tc>
          <w:tcPr>
            <w:tcW w:type="dxa" w:w="36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Compliance systems + traceability + supplier onboarding automation</w:t>
            </w:r>
          </w:p>
        </w:tc>
        <w:tc>
          <w:tcPr>
            <w:tcW w:type="dxa" w:w="33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Exclusion from institutional supply chains requiring verified sourcing</w:t>
            </w:r>
          </w:p>
        </w:tc>
      </w:tr>
      <w:tr>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Pawnbrokers / Jewellery Buyers</w:t>
            </w:r>
          </w:p>
        </w:tc>
        <w:tc>
          <w:tcPr>
            <w:tcW w:type="dxa" w:w="36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Digital lead generation + mobile-first UX + review systems</w:t>
            </w:r>
          </w:p>
        </w:tc>
        <w:tc>
          <w:tcPr>
            <w:tcW w:type="dxa" w:w="33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Structural decline as walk-in traffic continues to fall</w:t>
            </w:r>
          </w:p>
        </w:tc>
      </w:tr>
    </w:tbl>
    <w:p>
      <w:r>
        <w:t xml:space="preserve"/>
      </w:r>
    </w:p>
    <w:p>
      <w:r>
        <w:t xml:space="preserve"/>
      </w:r>
    </w:p>
    <w:p>
      <w:r>
        <w:br w:type="page"/>
      </w:r>
    </w:p>
    <w:p>
      <w:pPr>
        <w:pStyle w:val="Heading1"/>
        <w:spacing w:before="400" w:after="160"/>
      </w:pPr>
      <w:r>
        <w:rPr>
          <w:rFonts w:ascii="Arial" w:cs="Arial" w:eastAsia="Arial" w:hAnsi="Arial"/>
          <w:b/>
          <w:bCs/>
          <w:color w:val="1B3A5C"/>
          <w:sz w:val="36"/>
          <w:szCs w:val="36"/>
        </w:rPr>
        <w:t xml:space="preserve">Section 8: Business Self-Assessment Scorecard</w:t>
      </w:r>
    </w:p>
    <w:p>
      <w:pPr>
        <w:pBdr>
          <w:bottom w:val="single" w:color="B8860B" w:sz="6" w:space="4"/>
        </w:pBdr>
        <w:spacing w:before="40" w:after="200"/>
      </w:pPr>
      <w:r>
        <w:t xml:space="preserve"/>
      </w:r>
    </w:p>
    <w:p>
      <w:pPr>
        <w:spacing w:before="80" w:after="80"/>
        <w:jc w:val="left"/>
      </w:pPr>
      <w:r>
        <w:rPr>
          <w:rFonts w:ascii="Georgia" w:cs="Georgia" w:eastAsia="Georgia" w:hAnsi="Georgia"/>
          <w:b w:val="false"/>
          <w:bCs w:val="false"/>
          <w:i w:val="false"/>
          <w:iCs w:val="false"/>
          <w:color w:val="222222"/>
          <w:sz w:val="22"/>
          <w:szCs w:val="22"/>
        </w:rPr>
        <w:t xml:space="preserve">Use the following scorecard to assess where your business currently sits and identify the highest-priority areas for improvement. Score each item 1 (not in place) to 5 (fully optimised).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4800"/>
        <w:gridCol w:w="2400"/>
      </w:tblGrid>
      <w:tr>
        <w:tc>
          <w:tcPr>
            <w:tcW w:type="dxa" w:w="216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Area</w:t>
            </w:r>
          </w:p>
        </w:tc>
        <w:tc>
          <w:tcPr>
            <w:tcW w:type="dxa" w:w="480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Assessment Question</w:t>
            </w:r>
          </w:p>
        </w:tc>
        <w:tc>
          <w:tcPr>
            <w:tcW w:type="dxa" w:w="240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Score (1–5)</w:t>
            </w:r>
          </w:p>
        </w:tc>
      </w:tr>
      <w:tr>
        <w:tc>
          <w:tcPr>
            <w:tcW w:type="dxa" w:w="21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Google Visibility</w:t>
            </w:r>
          </w:p>
        </w:tc>
        <w:tc>
          <w:tcPr>
            <w:tcW w:type="dxa" w:w="48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Does your business appear in the top 3 Google Maps results for your key service terms?</w:t>
            </w:r>
          </w:p>
        </w:tc>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
            </w:r>
          </w:p>
        </w:tc>
      </w:tr>
      <w:tr>
        <w:tc>
          <w:tcPr>
            <w:tcW w:type="dxa" w:w="21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Reviews</w:t>
            </w:r>
          </w:p>
        </w:tc>
        <w:tc>
          <w:tcPr>
            <w:tcW w:type="dxa" w:w="48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Do you have 100+ Google reviews with an average of 4.5+ stars?</w:t>
            </w:r>
          </w:p>
        </w:tc>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
            </w:r>
          </w:p>
        </w:tc>
      </w:tr>
      <w:tr>
        <w:tc>
          <w:tcPr>
            <w:tcW w:type="dxa" w:w="21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Website Conversion</w:t>
            </w:r>
          </w:p>
        </w:tc>
        <w:tc>
          <w:tcPr>
            <w:tcW w:type="dxa" w:w="48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Does your website convert more than 5% of visitors into enquiries?</w:t>
            </w:r>
          </w:p>
        </w:tc>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
            </w:r>
          </w:p>
        </w:tc>
      </w:tr>
      <w:tr>
        <w:tc>
          <w:tcPr>
            <w:tcW w:type="dxa" w:w="21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Trust Signals</w:t>
            </w:r>
          </w:p>
        </w:tc>
        <w:tc>
          <w:tcPr>
            <w:tcW w:type="dxa" w:w="48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Do you have transparent pricing pages, testimonial video, and accreditation displayed?</w:t>
            </w:r>
          </w:p>
        </w:tc>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
            </w:r>
          </w:p>
        </w:tc>
      </w:tr>
      <w:tr>
        <w:tc>
          <w:tcPr>
            <w:tcW w:type="dxa" w:w="21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Lead Capture</w:t>
            </w:r>
          </w:p>
        </w:tc>
        <w:tc>
          <w:tcPr>
            <w:tcW w:type="dxa" w:w="48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Is every website visitor entered into a CRM with automated follow-up?</w:t>
            </w:r>
          </w:p>
        </w:tc>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
            </w:r>
          </w:p>
        </w:tc>
      </w:tr>
      <w:tr>
        <w:tc>
          <w:tcPr>
            <w:tcW w:type="dxa" w:w="21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Response Speed</w:t>
            </w:r>
          </w:p>
        </w:tc>
        <w:tc>
          <w:tcPr>
            <w:tcW w:type="dxa" w:w="48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Do all enquiries receive a response within 5 minutes?</w:t>
            </w:r>
          </w:p>
        </w:tc>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
            </w:r>
          </w:p>
        </w:tc>
      </w:tr>
      <w:tr>
        <w:tc>
          <w:tcPr>
            <w:tcW w:type="dxa" w:w="21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SEO Content</w:t>
            </w:r>
          </w:p>
        </w:tc>
        <w:tc>
          <w:tcPr>
            <w:tcW w:type="dxa" w:w="48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Are you publishing regular content that targets your customers' search questions?</w:t>
            </w:r>
          </w:p>
        </w:tc>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
            </w:r>
          </w:p>
        </w:tc>
      </w:tr>
      <w:tr>
        <w:tc>
          <w:tcPr>
            <w:tcW w:type="dxa" w:w="21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CRM &amp; Automation</w:t>
            </w:r>
          </w:p>
        </w:tc>
        <w:tc>
          <w:tcPr>
            <w:tcW w:type="dxa" w:w="48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Is your lead pipeline fully tracked with automated follow-up sequences?</w:t>
            </w:r>
          </w:p>
        </w:tc>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
            </w:r>
          </w:p>
        </w:tc>
      </w:tr>
      <w:tr>
        <w:tc>
          <w:tcPr>
            <w:tcW w:type="dxa" w:w="21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Compliance Systems</w:t>
            </w:r>
          </w:p>
        </w:tc>
        <w:tc>
          <w:tcPr>
            <w:tcW w:type="dxa" w:w="48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Are your KYC, AML, and transaction records managed in a structured, auditable system?</w:t>
            </w:r>
          </w:p>
        </w:tc>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
            </w:r>
          </w:p>
        </w:tc>
      </w:tr>
      <w:tr>
        <w:tc>
          <w:tcPr>
            <w:tcW w:type="dxa" w:w="21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Performance Dashboard</w:t>
            </w:r>
          </w:p>
        </w:tc>
        <w:tc>
          <w:tcPr>
            <w:tcW w:type="dxa" w:w="48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Do you have a real-time view of leads, conversion, and revenue by channel?</w:t>
            </w:r>
          </w:p>
        </w:tc>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2"/>
              <w:left w:val="thick" w:color="B8860B" w:sz="14"/>
              <w:bottom w:val="single" w:color="B8860B" w:sz="2"/>
              <w:right w:val="single" w:color="B8860B" w:sz="2"/>
            </w:tcBorders>
            <w:shd w:fill="F9F5EC" w:val="clear"/>
            <w:tcMar>
              <w:top w:type="dxa" w:w="140"/>
              <w:left w:type="dxa" w:w="200"/>
              <w:bottom w:type="dxa" w:w="140"/>
              <w:right w:type="dxa" w:w="160"/>
            </w:tcMar>
          </w:tcPr>
          <w:p>
            <w:r>
              <w:rPr>
                <w:rFonts w:ascii="Arial" w:cs="Arial" w:eastAsia="Arial" w:hAnsi="Arial"/>
                <w:b/>
                <w:bCs/>
                <w:color w:val="1B3A5C"/>
                <w:sz w:val="22"/>
                <w:szCs w:val="22"/>
              </w:rPr>
              <w:t xml:space="preserve">How to Score Your Business</w:t>
            </w:r>
          </w:p>
          <w:p>
            <w:r>
              <w:t xml:space="preserve"/>
            </w:r>
          </w:p>
          <w:p>
            <w:pPr>
              <w:spacing w:before="0" w:after="0"/>
            </w:pPr>
            <w:r>
              <w:rPr>
                <w:rFonts w:ascii="Georgia" w:cs="Georgia" w:eastAsia="Georgia" w:hAnsi="Georgia"/>
                <w:color w:val="222222"/>
                <w:sz w:val="22"/>
                <w:szCs w:val="22"/>
              </w:rPr>
              <w:t xml:space="preserve">40–50: Growth leader. Focus on optimisation and expansion. 25–39: Active. Prioritise the three lowest-scoring areas immediately. 10–24: At risk. A structured growth audit is strongly recommended before competitors widen the gap further.</w:t>
            </w:r>
          </w:p>
        </w:tc>
      </w:tr>
    </w:tbl>
    <w:p>
      <w:r>
        <w:t xml:space="preserve"/>
      </w:r>
    </w:p>
    <w:p>
      <w:r>
        <w:t xml:space="preserve"/>
      </w:r>
    </w:p>
    <w:p>
      <w:r>
        <w:br w:type="page"/>
      </w:r>
    </w:p>
    <w:p>
      <w:pPr>
        <w:pStyle w:val="Heading1"/>
        <w:spacing w:before="400" w:after="160"/>
      </w:pPr>
      <w:r>
        <w:rPr>
          <w:rFonts w:ascii="Arial" w:cs="Arial" w:eastAsia="Arial" w:hAnsi="Arial"/>
          <w:b/>
          <w:bCs/>
          <w:color w:val="1B3A5C"/>
          <w:sz w:val="36"/>
          <w:szCs w:val="36"/>
        </w:rPr>
        <w:t xml:space="preserve">Section 9: Next Steps</w:t>
      </w:r>
    </w:p>
    <w:p>
      <w:pPr>
        <w:pBdr>
          <w:bottom w:val="single" w:color="B8860B" w:sz="6" w:space="4"/>
        </w:pBdr>
        <w:spacing w:before="40" w:after="200"/>
      </w:pPr>
      <w:r>
        <w:t xml:space="preserve"/>
      </w:r>
    </w:p>
    <w:p>
      <w:pPr>
        <w:spacing w:before="80" w:after="80"/>
        <w:jc w:val="left"/>
      </w:pPr>
      <w:r>
        <w:rPr>
          <w:rFonts w:ascii="Georgia" w:cs="Georgia" w:eastAsia="Georgia" w:hAnsi="Georgia"/>
          <w:b w:val="false"/>
          <w:bCs w:val="false"/>
          <w:i w:val="false"/>
          <w:iCs w:val="false"/>
          <w:color w:val="222222"/>
          <w:sz w:val="22"/>
          <w:szCs w:val="22"/>
        </w:rPr>
        <w:t xml:space="preserve">The businesses that act on the intelligence in this report in 2026 will be structurally better positioned than those that don't. The gap between digitally sophisticated operators and those still relying on walk-in traffic and word of mouth is widening — and it will not narrow on its own.</w:t>
      </w:r>
    </w:p>
    <w:p>
      <w:r>
        <w:t xml:space="preserve"/>
      </w:r>
    </w:p>
    <w:p>
      <w:pPr>
        <w:pStyle w:val="Heading2"/>
        <w:spacing w:before="280" w:after="120"/>
      </w:pPr>
      <w:r>
        <w:rPr>
          <w:rFonts w:ascii="Arial" w:cs="Arial" w:eastAsia="Arial" w:hAnsi="Arial"/>
          <w:b/>
          <w:bCs/>
          <w:color w:val="2E6DA4"/>
          <w:sz w:val="28"/>
          <w:szCs w:val="28"/>
        </w:rPr>
        <w:t xml:space="preserve">If You Run a Cash-for-Gold or Gold Buying Business</w:t>
      </w:r>
    </w:p>
    <w:p>
      <w:pPr>
        <w:spacing w:before="80" w:after="80"/>
        <w:jc w:val="left"/>
      </w:pPr>
      <w:r>
        <w:rPr>
          <w:rFonts w:ascii="Georgia" w:cs="Georgia" w:eastAsia="Georgia" w:hAnsi="Georgia"/>
          <w:b w:val="false"/>
          <w:bCs w:val="false"/>
          <w:i w:val="false"/>
          <w:iCs w:val="false"/>
          <w:color w:val="222222"/>
          <w:sz w:val="22"/>
          <w:szCs w:val="22"/>
        </w:rPr>
        <w:t xml:space="preserve">The highest-leverage action you can take is a structured Growth Audit: a systematic review of your digital visibility, lead generation, conversion rate, and operational workflows. Most businesses that complete this process identify 3–5 significant revenue opportunities they were previously unaware of.</w:t>
      </w:r>
    </w:p>
    <w:p>
      <w:r>
        <w:t xml:space="preserve"/>
      </w:r>
    </w:p>
    <w:p>
      <w:pPr>
        <w:pStyle w:val="Heading2"/>
        <w:spacing w:before="280" w:after="120"/>
      </w:pPr>
      <w:r>
        <w:rPr>
          <w:rFonts w:ascii="Arial" w:cs="Arial" w:eastAsia="Arial" w:hAnsi="Arial"/>
          <w:b/>
          <w:bCs/>
          <w:color w:val="2E6DA4"/>
          <w:sz w:val="28"/>
          <w:szCs w:val="28"/>
        </w:rPr>
        <w:t xml:space="preserve">If You Run a Bullion Dealership</w:t>
      </w:r>
    </w:p>
    <w:p>
      <w:pPr>
        <w:spacing w:before="80" w:after="80"/>
        <w:jc w:val="left"/>
      </w:pPr>
      <w:r>
        <w:rPr>
          <w:rFonts w:ascii="Georgia" w:cs="Georgia" w:eastAsia="Georgia" w:hAnsi="Georgia"/>
          <w:b w:val="false"/>
          <w:bCs w:val="false"/>
          <w:i w:val="false"/>
          <w:iCs w:val="false"/>
          <w:color w:val="222222"/>
          <w:sz w:val="22"/>
          <w:szCs w:val="22"/>
        </w:rPr>
        <w:t xml:space="preserve">Start with a conversion and SEO audit. The gap between your current organic traffic and what top-performing dealers achieve in your segment is almost always larger than you expect — and the path to closing it is structured, not random.</w:t>
      </w:r>
    </w:p>
    <w:p>
      <w:r>
        <w:t xml:space="preserve"/>
      </w:r>
    </w:p>
    <w:p>
      <w:pPr>
        <w:pStyle w:val="Heading2"/>
        <w:spacing w:before="280" w:after="120"/>
      </w:pPr>
      <w:r>
        <w:rPr>
          <w:rFonts w:ascii="Arial" w:cs="Arial" w:eastAsia="Arial" w:hAnsi="Arial"/>
          <w:b/>
          <w:bCs/>
          <w:color w:val="2E6DA4"/>
          <w:sz w:val="28"/>
          <w:szCs w:val="28"/>
        </w:rPr>
        <w:t xml:space="preserve">If You Run a Refinery or Precious Metal Recycling Business</w:t>
      </w:r>
    </w:p>
    <w:p>
      <w:pPr>
        <w:spacing w:before="80" w:after="80"/>
        <w:jc w:val="left"/>
      </w:pPr>
      <w:r>
        <w:rPr>
          <w:rFonts w:ascii="Georgia" w:cs="Georgia" w:eastAsia="Georgia" w:hAnsi="Georgia"/>
          <w:b w:val="false"/>
          <w:bCs w:val="false"/>
          <w:i w:val="false"/>
          <w:iCs w:val="false"/>
          <w:color w:val="222222"/>
          <w:sz w:val="22"/>
          <w:szCs w:val="22"/>
        </w:rPr>
        <w:t xml:space="preserve">Compliance, traceability, and supplier onboarding systems are the highest-priority investments for 2026. These are no longer optional — they are commercial requirements for accessing institutional supply chains.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2"/>
              <w:left w:val="thick" w:color="B8860B" w:sz="14"/>
              <w:bottom w:val="single" w:color="B8860B" w:sz="2"/>
              <w:right w:val="single" w:color="B8860B" w:sz="2"/>
            </w:tcBorders>
            <w:shd w:fill="F9F5EC" w:val="clear"/>
            <w:tcMar>
              <w:top w:type="dxa" w:w="140"/>
              <w:left w:type="dxa" w:w="200"/>
              <w:bottom w:type="dxa" w:w="140"/>
              <w:right w:type="dxa" w:w="160"/>
            </w:tcMar>
          </w:tcPr>
          <w:p>
            <w:r>
              <w:rPr>
                <w:rFonts w:ascii="Arial" w:cs="Arial" w:eastAsia="Arial" w:hAnsi="Arial"/>
                <w:b/>
                <w:bCs/>
                <w:color w:val="1B3A5C"/>
                <w:sz w:val="22"/>
                <w:szCs w:val="22"/>
              </w:rPr>
              <w:t xml:space="preserve">Book a Strategy Conversation</w:t>
            </w:r>
          </w:p>
          <w:p>
            <w:r>
              <w:t xml:space="preserve"/>
            </w:r>
          </w:p>
          <w:p>
            <w:pPr>
              <w:spacing w:before="0" w:after="0"/>
            </w:pPr>
            <w:r>
              <w:rPr>
                <w:rFonts w:ascii="Georgia" w:cs="Georgia" w:eastAsia="Georgia" w:hAnsi="Georgia"/>
                <w:color w:val="222222"/>
                <w:sz w:val="22"/>
                <w:szCs w:val="22"/>
              </w:rPr>
              <w:t xml:space="preserve">Precious Metals Growth Advisory offers a complimentary 45-minute strategy conversation for qualified businesses. We will review your current position, identify the highest-priority growth opportunities, and outline what a structured engagement would deliver. There is no obligation. To book, visit our website or contact us directly.</w:t>
            </w:r>
          </w:p>
        </w:tc>
      </w:tr>
    </w:tbl>
    <w:p>
      <w:r>
        <w:t xml:space="preserve"/>
      </w:r>
    </w:p>
    <w:p>
      <w:pPr>
        <w:spacing w:before="200" w:after="200"/>
        <w:jc w:val="center"/>
      </w:pPr>
      <w:r>
        <w:rPr>
          <w:rFonts w:ascii="Arial" w:cs="Arial" w:eastAsia="Arial" w:hAnsi="Arial"/>
          <w:b/>
          <w:bCs/>
          <w:color w:val="1B3A5C"/>
          <w:sz w:val="28"/>
          <w:szCs w:val="28"/>
        </w:rPr>
        <w:t xml:space="preserve">Precious Metals Growth Advisory</w:t>
      </w:r>
    </w:p>
    <w:p>
      <w:pPr>
        <w:spacing w:before="0" w:after="60"/>
        <w:jc w:val="center"/>
      </w:pPr>
      <w:r>
        <w:rPr>
          <w:rFonts w:ascii="Georgia" w:cs="Georgia" w:eastAsia="Georgia" w:hAnsi="Georgia"/>
          <w:i/>
          <w:iCs/>
          <w:color w:val="B8860B"/>
          <w:sz w:val="22"/>
          <w:szCs w:val="22"/>
        </w:rPr>
        <w:t xml:space="preserve">Strategy · Advisory · Execution</w:t>
      </w:r>
    </w:p>
    <w:p>
      <w:pPr>
        <w:spacing w:before="0" w:after="60"/>
        <w:jc w:val="center"/>
      </w:pPr>
      <w:r>
        <w:rPr>
          <w:rFonts w:ascii="Georgia" w:cs="Georgia" w:eastAsia="Georgia" w:hAnsi="Georgia"/>
          <w:color w:val="777777"/>
          <w:sz w:val="20"/>
          <w:szCs w:val="20"/>
        </w:rPr>
        <w:t xml:space="preserve">Global — UK · USA · UAE · India</w:t>
      </w:r>
    </w:p>
    <w:p>
      <w:r>
        <w:t xml:space="preserve"/>
      </w:r>
    </w:p>
    <w:p>
      <w:r>
        <w:t xml:space="preserve"/>
      </w:r>
    </w:p>
    <w:p>
      <w:r>
        <w:br w:type="page"/>
      </w:r>
    </w:p>
    <w:p>
      <w:pPr>
        <w:pStyle w:val="Heading1"/>
        <w:spacing w:before="400" w:after="160"/>
      </w:pPr>
      <w:r>
        <w:rPr>
          <w:rFonts w:ascii="Arial" w:cs="Arial" w:eastAsia="Arial" w:hAnsi="Arial"/>
          <w:b/>
          <w:bCs/>
          <w:color w:val="1B3A5C"/>
          <w:sz w:val="36"/>
          <w:szCs w:val="36"/>
        </w:rPr>
        <w:t xml:space="preserve">Appendix: Key Industry Terms</w:t>
      </w:r>
    </w:p>
    <w:p>
      <w:pPr>
        <w:pBdr>
          <w:bottom w:val="single" w:color="B8860B" w:sz="6" w:space="4"/>
        </w:pBdr>
        <w:spacing w:before="4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Term</w:t>
            </w:r>
          </w:p>
        </w:tc>
        <w:tc>
          <w:tcPr>
            <w:tcW w:type="dxa" w:w="6960"/>
            <w:tcBorders>
              <w:top w:val="single" w:color="D0C8B0" w:sz="1"/>
              <w:left w:val="single" w:color="D0C8B0" w:sz="1"/>
              <w:bottom w:val="single" w:color="D0C8B0" w:sz="1"/>
              <w:right w:val="single" w:color="D0C8B0" w:sz="1"/>
            </w:tcBorders>
            <w:shd w:fill="1B3A5C" w:val="clear"/>
            <w:tcMar>
              <w:top w:type="dxa" w:w="100"/>
              <w:left w:type="dxa" w:w="140"/>
              <w:bottom w:type="dxa" w:w="100"/>
              <w:right w:type="dxa" w:w="140"/>
            </w:tcMar>
          </w:tcPr>
          <w:p>
            <w:r>
              <w:rPr>
                <w:rFonts w:ascii="Georgia" w:cs="Georgia" w:eastAsia="Georgia" w:hAnsi="Georgia"/>
                <w:b/>
                <w:bCs/>
                <w:color w:val="FFFFFF"/>
                <w:sz w:val="20"/>
                <w:szCs w:val="20"/>
              </w:rPr>
              <w:t xml:space="preserve">Definition</w:t>
            </w:r>
          </w:p>
        </w:tc>
      </w:tr>
      <w:tr>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Spot Price</w:t>
            </w:r>
          </w:p>
        </w:tc>
        <w:tc>
          <w:tcPr>
            <w:tcW w:type="dxa" w:w="69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The current market price for immediate delivery of one troy ounce of gold</w:t>
            </w:r>
          </w:p>
        </w:tc>
      </w:tr>
      <w:tr>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LBMA</w:t>
            </w:r>
          </w:p>
        </w:tc>
        <w:tc>
          <w:tcPr>
            <w:tcW w:type="dxa" w:w="69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London Bullion Market Association — sets Good Delivery standards for gold and silver refiners globally</w:t>
            </w:r>
          </w:p>
        </w:tc>
      </w:tr>
      <w:tr>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Good Delivery</w:t>
            </w:r>
          </w:p>
        </w:tc>
        <w:tc>
          <w:tcPr>
            <w:tcW w:type="dxa" w:w="69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LBMA accreditation standard for refined gold and silver bars accepted in the global wholesale market</w:t>
            </w:r>
          </w:p>
        </w:tc>
      </w:tr>
      <w:tr>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AML</w:t>
            </w:r>
          </w:p>
        </w:tc>
        <w:tc>
          <w:tcPr>
            <w:tcW w:type="dxa" w:w="69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Anti-Money Laundering — regulatory obligations requiring precious metals businesses to identify and report suspicious transactions</w:t>
            </w:r>
          </w:p>
        </w:tc>
      </w:tr>
      <w:tr>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KYC</w:t>
            </w:r>
          </w:p>
        </w:tc>
        <w:tc>
          <w:tcPr>
            <w:tcW w:type="dxa" w:w="69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Know Your Customer — the process of verifying the identity of clients, required by AML regulations</w:t>
            </w:r>
          </w:p>
        </w:tc>
      </w:tr>
      <w:tr>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DMCC</w:t>
            </w:r>
          </w:p>
        </w:tc>
        <w:tc>
          <w:tcPr>
            <w:tcW w:type="dxa" w:w="69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Dubai Multi Commodities Centre — UAE's free trade zone and regulator for precious metals trading in Dubai</w:t>
            </w:r>
          </w:p>
        </w:tc>
      </w:tr>
      <w:tr>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Doré</w:t>
            </w:r>
          </w:p>
        </w:tc>
        <w:tc>
          <w:tcPr>
            <w:tcW w:type="dxa" w:w="69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Semi-pure alloy of gold and silver produced at a mine before refining</w:t>
            </w:r>
          </w:p>
        </w:tc>
      </w:tr>
      <w:tr>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CRO</w:t>
            </w:r>
          </w:p>
        </w:tc>
        <w:tc>
          <w:tcPr>
            <w:tcW w:type="dxa" w:w="69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Conversion Rate Optimisation — the process of improving the percentage of website visitors who take a desired action</w:t>
            </w:r>
          </w:p>
        </w:tc>
      </w:tr>
      <w:tr>
        <w:tc>
          <w:tcPr>
            <w:tcW w:type="dxa" w:w="240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Traceability</w:t>
            </w:r>
          </w:p>
        </w:tc>
        <w:tc>
          <w:tcPr>
            <w:tcW w:type="dxa" w:w="6960"/>
            <w:tcBorders>
              <w:top w:val="single" w:color="D0C8B0" w:sz="1"/>
              <w:left w:val="single" w:color="D0C8B0" w:sz="1"/>
              <w:bottom w:val="single" w:color="D0C8B0" w:sz="1"/>
              <w:right w:val="single" w:color="D0C8B0" w:sz="1"/>
            </w:tcBorders>
            <w:shd w:fill="F9F5EC" w:val="clear"/>
            <w:tcMar>
              <w:top w:type="dxa" w:w="90"/>
              <w:left w:type="dxa" w:w="140"/>
              <w:bottom w:type="dxa" w:w="90"/>
              <w:right w:type="dxa" w:w="140"/>
            </w:tcMar>
          </w:tcPr>
          <w:p>
            <w:r>
              <w:rPr>
                <w:rFonts w:ascii="Georgia" w:cs="Georgia" w:eastAsia="Georgia" w:hAnsi="Georgia"/>
                <w:color w:val="222222"/>
                <w:sz w:val="20"/>
                <w:szCs w:val="20"/>
              </w:rPr>
              <w:t xml:space="preserve">The ability to track the origin and chain of custody of precious metal from source to refined product</w:t>
            </w:r>
          </w:p>
        </w:tc>
      </w:tr>
      <w:tr>
        <w:tc>
          <w:tcPr>
            <w:tcW w:type="dxa" w:w="240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FATF</w:t>
            </w:r>
          </w:p>
        </w:tc>
        <w:tc>
          <w:tcPr>
            <w:tcW w:type="dxa" w:w="6960"/>
            <w:tcBorders>
              <w:top w:val="single" w:color="D0C8B0" w:sz="1"/>
              <w:left w:val="single" w:color="D0C8B0" w:sz="1"/>
              <w:bottom w:val="single" w:color="D0C8B0" w:sz="1"/>
              <w:right w:val="single" w:color="D0C8B0" w:sz="1"/>
            </w:tcBorders>
            <w:shd w:fill="FFFFFF" w:val="clear"/>
            <w:tcMar>
              <w:top w:type="dxa" w:w="90"/>
              <w:left w:type="dxa" w:w="140"/>
              <w:bottom w:type="dxa" w:w="90"/>
              <w:right w:type="dxa" w:w="140"/>
            </w:tcMar>
          </w:tcPr>
          <w:p>
            <w:r>
              <w:rPr>
                <w:rFonts w:ascii="Georgia" w:cs="Georgia" w:eastAsia="Georgia" w:hAnsi="Georgia"/>
                <w:color w:val="222222"/>
                <w:sz w:val="20"/>
                <w:szCs w:val="20"/>
              </w:rPr>
              <w:t xml:space="preserve">Financial Action Task Force — international body that sets global AML and counter-terrorism financing standards</w:t>
            </w:r>
          </w:p>
        </w:tc>
      </w:tr>
    </w:tbl>
    <w:p>
      <w:r>
        <w:t xml:space="preserve"/>
      </w:r>
    </w:p>
    <w:p>
      <w:r>
        <w:t xml:space="preserve"/>
      </w:r>
    </w:p>
    <w:p>
      <w:pPr>
        <w:pBdr>
          <w:top w:val="single" w:color="B8860B" w:sz="4" w:space="8"/>
        </w:pBdr>
        <w:spacing w:before="200" w:after="60"/>
        <w:jc w:val="center"/>
      </w:pPr>
      <w:r>
        <w:rPr>
          <w:rFonts w:ascii="Georgia" w:cs="Georgia" w:eastAsia="Georgia" w:hAnsi="Georgia"/>
          <w:i/>
          <w:iCs/>
          <w:color w:val="888888"/>
          <w:sz w:val="18"/>
          <w:szCs w:val="18"/>
        </w:rPr>
        <w:t xml:space="preserve">© 2026 Precious Metals Growth Advisory. All rights reserved.</w:t>
      </w:r>
    </w:p>
    <w:p>
      <w:pPr>
        <w:jc w:val="center"/>
      </w:pPr>
      <w:r>
        <w:rPr>
          <w:rFonts w:ascii="Georgia" w:cs="Georgia" w:eastAsia="Georgia" w:hAnsi="Georgia"/>
          <w:i/>
          <w:iCs/>
          <w:color w:val="999999"/>
          <w:sz w:val="16"/>
          <w:szCs w:val="16"/>
        </w:rPr>
        <w:t xml:space="preserve">This report is published for informational and business development purposes. Data references include World Gold Council, LBMA, and market analysis sources.</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b/>
        <w:bCs/>
        <w:color w:val="B8860B"/>
      </w:r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2E6DA4"/>
      <w:sz w:val="28"/>
      <w:szCs w:val="28"/>
    </w:rPr>
  </w:style>
  <w:style w:type="paragraph" w:styleId="Heading3">
    <w:name w:val="Heading 3"/>
    <w:basedOn w:val="Normal"/>
    <w:next w:val="Normal"/>
    <w:qFormat/>
    <w:pPr>
      <w:spacing w:before="200" w:after="80"/>
      <w:outlineLvl w:val="2"/>
    </w:pPr>
    <w:rPr>
      <w:rFonts w:ascii="Arial" w:cs="Arial" w:eastAsia="Arial" w:hAnsi="Arial"/>
      <w:b/>
      <w:bCs/>
      <w:color w:val="B8860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2026-03-11T08:22:36.983Z</dcterms:created>
  <dcterms:modified xsi:type="dcterms:W3CDTF">2026-03-11T08:22:36.984Z</dcterms:modified>
</cp:coreProperties>
</file>

<file path=docProps/custom.xml><?xml version="1.0" encoding="utf-8"?>
<Properties xmlns="http://schemas.openxmlformats.org/officeDocument/2006/custom-properties" xmlns:vt="http://schemas.openxmlformats.org/officeDocument/2006/docPropsVTypes"/>
</file>